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0BF1C5" w14:textId="77777777" w:rsidR="00C504CD" w:rsidRPr="002C7B65" w:rsidRDefault="00CF7778" w:rsidP="002C7882">
      <w:pPr>
        <w:rPr>
          <w:rFonts w:ascii="Arial" w:hAnsi="Arial" w:cs="Arial"/>
          <w:b/>
          <w:sz w:val="28"/>
          <w:szCs w:val="28"/>
        </w:rPr>
      </w:pPr>
      <w:r>
        <w:rPr>
          <w:rFonts w:ascii="Arial" w:hAnsi="Arial" w:cs="Arial"/>
          <w:b/>
          <w:sz w:val="28"/>
          <w:szCs w:val="28"/>
        </w:rPr>
        <w:t xml:space="preserve">Selective Licensing </w:t>
      </w:r>
      <w:r w:rsidR="002C7882">
        <w:rPr>
          <w:rFonts w:ascii="Arial" w:hAnsi="Arial" w:cs="Arial"/>
          <w:b/>
          <w:sz w:val="28"/>
          <w:szCs w:val="28"/>
        </w:rPr>
        <w:t>Fee</w:t>
      </w:r>
      <w:r w:rsidR="00060132" w:rsidRPr="002C7B65">
        <w:rPr>
          <w:rFonts w:ascii="Arial" w:hAnsi="Arial" w:cs="Arial"/>
          <w:b/>
          <w:sz w:val="28"/>
          <w:szCs w:val="28"/>
        </w:rPr>
        <w:t xml:space="preserve"> proposal</w:t>
      </w:r>
    </w:p>
    <w:p w14:paraId="6E46D58D" w14:textId="77777777" w:rsidR="00060132" w:rsidRDefault="00060132">
      <w:pPr>
        <w:rPr>
          <w:rFonts w:ascii="Arial" w:hAnsi="Arial" w:cs="Arial"/>
          <w:b/>
          <w:sz w:val="24"/>
          <w:szCs w:val="24"/>
        </w:rPr>
      </w:pPr>
    </w:p>
    <w:p w14:paraId="2E7B6AE6" w14:textId="77777777" w:rsidR="00060132" w:rsidRPr="00933394" w:rsidRDefault="002C7882">
      <w:pPr>
        <w:rPr>
          <w:rFonts w:ascii="Arial" w:hAnsi="Arial" w:cs="Arial"/>
        </w:rPr>
      </w:pPr>
      <w:r w:rsidRPr="00933394">
        <w:rPr>
          <w:rFonts w:ascii="Arial" w:hAnsi="Arial" w:cs="Arial"/>
        </w:rPr>
        <w:t>The fee proposal is based on a review of HMO licence costs</w:t>
      </w:r>
      <w:r w:rsidR="00060132" w:rsidRPr="00933394">
        <w:rPr>
          <w:rFonts w:ascii="Arial" w:hAnsi="Arial" w:cs="Arial"/>
        </w:rPr>
        <w:t>. The processing of</w:t>
      </w:r>
      <w:r w:rsidRPr="00933394">
        <w:rPr>
          <w:rFonts w:ascii="Arial" w:hAnsi="Arial" w:cs="Arial"/>
        </w:rPr>
        <w:t xml:space="preserve"> selective licence </w:t>
      </w:r>
      <w:r w:rsidR="00060132" w:rsidRPr="00933394">
        <w:rPr>
          <w:rFonts w:ascii="Arial" w:hAnsi="Arial" w:cs="Arial"/>
        </w:rPr>
        <w:t xml:space="preserve">applications is very similar </w:t>
      </w:r>
      <w:r w:rsidRPr="00933394">
        <w:rPr>
          <w:rFonts w:ascii="Arial" w:hAnsi="Arial" w:cs="Arial"/>
        </w:rPr>
        <w:t>to the HMO applications already processed by the Council. H</w:t>
      </w:r>
      <w:r w:rsidR="00060132" w:rsidRPr="00933394">
        <w:rPr>
          <w:rFonts w:ascii="Arial" w:hAnsi="Arial" w:cs="Arial"/>
        </w:rPr>
        <w:t xml:space="preserve">owever there would be no inspection of a selective licence property prior to </w:t>
      </w:r>
      <w:r w:rsidR="00C67615" w:rsidRPr="00933394">
        <w:rPr>
          <w:rFonts w:ascii="Arial" w:hAnsi="Arial" w:cs="Arial"/>
        </w:rPr>
        <w:t>the issue of a licence and not all properties will need to be inspected</w:t>
      </w:r>
      <w:r w:rsidR="00060132" w:rsidRPr="00933394">
        <w:rPr>
          <w:rFonts w:ascii="Arial" w:hAnsi="Arial" w:cs="Arial"/>
        </w:rPr>
        <w:t xml:space="preserve">. </w:t>
      </w:r>
    </w:p>
    <w:p w14:paraId="4FC0C9F4" w14:textId="77777777" w:rsidR="002C7882" w:rsidRPr="00CF7778" w:rsidRDefault="002C7882" w:rsidP="002C7882">
      <w:pPr>
        <w:rPr>
          <w:rFonts w:ascii="Arial" w:hAnsi="Arial" w:cs="Arial"/>
          <w:b/>
          <w:sz w:val="28"/>
          <w:szCs w:val="28"/>
        </w:rPr>
      </w:pPr>
      <w:r w:rsidRPr="00CF7778">
        <w:rPr>
          <w:rFonts w:ascii="Arial" w:hAnsi="Arial" w:cs="Arial"/>
          <w:b/>
          <w:sz w:val="28"/>
          <w:szCs w:val="28"/>
        </w:rPr>
        <w:t xml:space="preserve">Fee scheme </w:t>
      </w:r>
    </w:p>
    <w:p w14:paraId="32106BA9" w14:textId="32B16582" w:rsidR="001D056B" w:rsidRPr="00933394" w:rsidRDefault="005955C0" w:rsidP="005955C0">
      <w:pPr>
        <w:rPr>
          <w:rFonts w:ascii="Arial" w:hAnsi="Arial" w:cs="Arial"/>
        </w:rPr>
      </w:pPr>
      <w:r w:rsidRPr="00933394">
        <w:rPr>
          <w:rFonts w:ascii="Arial" w:hAnsi="Arial" w:cs="Arial"/>
        </w:rPr>
        <w:t>Selective licences will be issued for five years unless there is a history of poor management.</w:t>
      </w:r>
      <w:r w:rsidR="002343BA" w:rsidRPr="00933394">
        <w:rPr>
          <w:rFonts w:ascii="Arial" w:hAnsi="Arial" w:cs="Arial"/>
        </w:rPr>
        <w:t xml:space="preserve"> </w:t>
      </w:r>
      <w:r w:rsidR="00236025" w:rsidRPr="00933394">
        <w:rPr>
          <w:rFonts w:ascii="Arial" w:hAnsi="Arial" w:cs="Arial"/>
        </w:rPr>
        <w:t xml:space="preserve">The fee scheme for new applications are shown in Table 1. At the start of the scheme, various discounts will be offered, as in Table 2. </w:t>
      </w:r>
      <w:r w:rsidR="002343BA" w:rsidRPr="00933394">
        <w:rPr>
          <w:rFonts w:ascii="Arial" w:hAnsi="Arial" w:cs="Arial"/>
        </w:rPr>
        <w:t>It is anticipated the vast majority of licences will be for five years</w:t>
      </w:r>
      <w:r w:rsidR="00C67615" w:rsidRPr="00933394">
        <w:rPr>
          <w:rFonts w:ascii="Arial" w:hAnsi="Arial" w:cs="Arial"/>
        </w:rPr>
        <w:t xml:space="preserve"> however some will be issued for one year and then require a renewal application</w:t>
      </w:r>
      <w:r w:rsidR="002343BA" w:rsidRPr="00933394">
        <w:rPr>
          <w:rFonts w:ascii="Arial" w:hAnsi="Arial" w:cs="Arial"/>
        </w:rPr>
        <w:t>.</w:t>
      </w:r>
      <w:r w:rsidR="00C67615" w:rsidRPr="00933394">
        <w:rPr>
          <w:rFonts w:ascii="Arial" w:hAnsi="Arial" w:cs="Arial"/>
        </w:rPr>
        <w:t xml:space="preserve"> </w:t>
      </w:r>
      <w:r w:rsidR="00236025" w:rsidRPr="00933394">
        <w:rPr>
          <w:rFonts w:ascii="Arial" w:hAnsi="Arial" w:cs="Arial"/>
        </w:rPr>
        <w:t>Renewal fees are in Table 3. To demonstrate that the fee scheme is designed to ensure compliant landlords are not financially penalised compared to non-compliant landlords, Table 4 illustrates different landlord behaviours and fee payable.</w:t>
      </w:r>
    </w:p>
    <w:tbl>
      <w:tblPr>
        <w:tblStyle w:val="TableGrid"/>
        <w:tblW w:w="0" w:type="auto"/>
        <w:tblLook w:val="04A0" w:firstRow="1" w:lastRow="0" w:firstColumn="1" w:lastColumn="0" w:noHBand="0" w:noVBand="1"/>
      </w:tblPr>
      <w:tblGrid>
        <w:gridCol w:w="1803"/>
        <w:gridCol w:w="2445"/>
        <w:gridCol w:w="1417"/>
        <w:gridCol w:w="1701"/>
        <w:gridCol w:w="1650"/>
      </w:tblGrid>
      <w:tr w:rsidR="002C7882" w:rsidRPr="00787773" w14:paraId="62C7CB06" w14:textId="77777777" w:rsidTr="00787773">
        <w:tc>
          <w:tcPr>
            <w:tcW w:w="9016" w:type="dxa"/>
            <w:gridSpan w:val="5"/>
            <w:shd w:val="clear" w:color="auto" w:fill="D9D9D9" w:themeFill="background1" w:themeFillShade="D9"/>
          </w:tcPr>
          <w:p w14:paraId="3AFEF9F4" w14:textId="77777777" w:rsidR="002C7882" w:rsidRPr="00787773" w:rsidRDefault="002C7882" w:rsidP="008B5CF4">
            <w:pPr>
              <w:rPr>
                <w:rFonts w:ascii="Arial" w:hAnsi="Arial" w:cs="Arial"/>
                <w:b/>
                <w:sz w:val="24"/>
                <w:szCs w:val="24"/>
              </w:rPr>
            </w:pPr>
            <w:r w:rsidRPr="00787773">
              <w:rPr>
                <w:rFonts w:ascii="Arial" w:hAnsi="Arial" w:cs="Arial"/>
                <w:b/>
                <w:sz w:val="24"/>
                <w:szCs w:val="24"/>
              </w:rPr>
              <w:t xml:space="preserve">Table 1: Proposed fees for </w:t>
            </w:r>
            <w:r w:rsidR="008B5CF4">
              <w:rPr>
                <w:rFonts w:ascii="Arial" w:hAnsi="Arial" w:cs="Arial"/>
                <w:b/>
                <w:sz w:val="24"/>
                <w:szCs w:val="24"/>
              </w:rPr>
              <w:t xml:space="preserve">new </w:t>
            </w:r>
            <w:r w:rsidRPr="00787773">
              <w:rPr>
                <w:rFonts w:ascii="Arial" w:hAnsi="Arial" w:cs="Arial"/>
                <w:b/>
                <w:sz w:val="24"/>
                <w:szCs w:val="24"/>
              </w:rPr>
              <w:t xml:space="preserve">applications </w:t>
            </w:r>
          </w:p>
        </w:tc>
      </w:tr>
      <w:tr w:rsidR="002C7882" w14:paraId="02F84AFC" w14:textId="77777777" w:rsidTr="00C504CD">
        <w:tc>
          <w:tcPr>
            <w:tcW w:w="1803" w:type="dxa"/>
          </w:tcPr>
          <w:p w14:paraId="25C486AA" w14:textId="77777777" w:rsidR="002C7882" w:rsidRDefault="002C7882" w:rsidP="00C504CD">
            <w:pPr>
              <w:rPr>
                <w:rFonts w:ascii="Arial" w:hAnsi="Arial" w:cs="Arial"/>
                <w:sz w:val="24"/>
                <w:szCs w:val="24"/>
              </w:rPr>
            </w:pPr>
            <w:r>
              <w:rPr>
                <w:rFonts w:ascii="Arial" w:hAnsi="Arial" w:cs="Arial"/>
                <w:sz w:val="24"/>
                <w:szCs w:val="24"/>
              </w:rPr>
              <w:t>Category</w:t>
            </w:r>
          </w:p>
        </w:tc>
        <w:tc>
          <w:tcPr>
            <w:tcW w:w="2445" w:type="dxa"/>
          </w:tcPr>
          <w:p w14:paraId="7F6EE74B" w14:textId="77777777" w:rsidR="002C7882" w:rsidRDefault="002C7882" w:rsidP="00C504CD">
            <w:pPr>
              <w:rPr>
                <w:rFonts w:ascii="Arial" w:hAnsi="Arial" w:cs="Arial"/>
                <w:sz w:val="24"/>
                <w:szCs w:val="24"/>
              </w:rPr>
            </w:pPr>
            <w:r>
              <w:rPr>
                <w:rFonts w:ascii="Arial" w:hAnsi="Arial" w:cs="Arial"/>
                <w:sz w:val="24"/>
                <w:szCs w:val="24"/>
              </w:rPr>
              <w:t>Description</w:t>
            </w:r>
          </w:p>
        </w:tc>
        <w:tc>
          <w:tcPr>
            <w:tcW w:w="1417" w:type="dxa"/>
          </w:tcPr>
          <w:p w14:paraId="5CAC29A5" w14:textId="77777777" w:rsidR="002C7882" w:rsidRPr="0025346E" w:rsidRDefault="002C7882" w:rsidP="00C504CD">
            <w:pPr>
              <w:rPr>
                <w:rFonts w:ascii="Arial" w:hAnsi="Arial" w:cs="Arial"/>
                <w:b/>
                <w:sz w:val="24"/>
                <w:szCs w:val="24"/>
              </w:rPr>
            </w:pPr>
            <w:r w:rsidRPr="0025346E">
              <w:rPr>
                <w:rFonts w:ascii="Arial" w:hAnsi="Arial" w:cs="Arial"/>
                <w:b/>
                <w:sz w:val="24"/>
                <w:szCs w:val="24"/>
              </w:rPr>
              <w:t>Total Fee</w:t>
            </w:r>
          </w:p>
        </w:tc>
        <w:tc>
          <w:tcPr>
            <w:tcW w:w="1701" w:type="dxa"/>
          </w:tcPr>
          <w:p w14:paraId="53C69374" w14:textId="77777777" w:rsidR="002C7882" w:rsidRDefault="002C7882" w:rsidP="00C504CD">
            <w:pPr>
              <w:rPr>
                <w:rFonts w:ascii="Arial" w:hAnsi="Arial" w:cs="Arial"/>
                <w:sz w:val="24"/>
                <w:szCs w:val="24"/>
              </w:rPr>
            </w:pPr>
            <w:r>
              <w:rPr>
                <w:rFonts w:ascii="Arial" w:hAnsi="Arial" w:cs="Arial"/>
                <w:sz w:val="24"/>
                <w:szCs w:val="24"/>
              </w:rPr>
              <w:t>Stage One</w:t>
            </w:r>
          </w:p>
        </w:tc>
        <w:tc>
          <w:tcPr>
            <w:tcW w:w="1650" w:type="dxa"/>
          </w:tcPr>
          <w:p w14:paraId="0413B44B" w14:textId="77777777" w:rsidR="002C7882" w:rsidRDefault="002C7882" w:rsidP="00C504CD">
            <w:pPr>
              <w:rPr>
                <w:rFonts w:ascii="Arial" w:hAnsi="Arial" w:cs="Arial"/>
                <w:sz w:val="24"/>
                <w:szCs w:val="24"/>
              </w:rPr>
            </w:pPr>
            <w:r>
              <w:rPr>
                <w:rFonts w:ascii="Arial" w:hAnsi="Arial" w:cs="Arial"/>
                <w:sz w:val="24"/>
                <w:szCs w:val="24"/>
              </w:rPr>
              <w:t>Stage Two</w:t>
            </w:r>
          </w:p>
        </w:tc>
      </w:tr>
      <w:tr w:rsidR="002C7882" w14:paraId="253D46C0" w14:textId="77777777" w:rsidTr="00C504CD">
        <w:tc>
          <w:tcPr>
            <w:tcW w:w="1803" w:type="dxa"/>
          </w:tcPr>
          <w:p w14:paraId="0A615FB2" w14:textId="77777777" w:rsidR="002C7882" w:rsidRPr="00D972D1" w:rsidRDefault="008B5CF4" w:rsidP="005955C0">
            <w:pPr>
              <w:rPr>
                <w:rFonts w:ascii="Calibri" w:eastAsia="Times New Roman" w:hAnsi="Calibri" w:cs="Calibri"/>
                <w:color w:val="000000"/>
                <w:lang w:eastAsia="en-GB"/>
              </w:rPr>
            </w:pPr>
            <w:r>
              <w:rPr>
                <w:rFonts w:ascii="Calibri" w:eastAsia="Times New Roman" w:hAnsi="Calibri" w:cs="Calibri"/>
                <w:color w:val="000000"/>
                <w:lang w:eastAsia="en-GB"/>
              </w:rPr>
              <w:t>S</w:t>
            </w:r>
            <w:r w:rsidR="002C7882" w:rsidRPr="00D972D1">
              <w:rPr>
                <w:rFonts w:ascii="Calibri" w:eastAsia="Times New Roman" w:hAnsi="Calibri" w:cs="Calibri"/>
                <w:color w:val="000000"/>
                <w:lang w:eastAsia="en-GB"/>
              </w:rPr>
              <w:t>B1 Standard fee</w:t>
            </w:r>
          </w:p>
        </w:tc>
        <w:tc>
          <w:tcPr>
            <w:tcW w:w="2445" w:type="dxa"/>
          </w:tcPr>
          <w:p w14:paraId="54A0E158" w14:textId="77777777" w:rsidR="002C7882" w:rsidRPr="00D972D1" w:rsidRDefault="008B5CF4" w:rsidP="00F57CF4">
            <w:pPr>
              <w:rPr>
                <w:rFonts w:ascii="Calibri" w:eastAsia="Times New Roman" w:hAnsi="Calibri" w:cs="Calibri"/>
                <w:color w:val="000000"/>
                <w:lang w:eastAsia="en-GB"/>
              </w:rPr>
            </w:pPr>
            <w:r>
              <w:rPr>
                <w:rFonts w:ascii="Calibri" w:eastAsia="Times New Roman" w:hAnsi="Calibri" w:cs="Calibri"/>
                <w:color w:val="000000"/>
                <w:lang w:eastAsia="en-GB"/>
              </w:rPr>
              <w:t>New application made wit</w:t>
            </w:r>
            <w:r w:rsidR="00F57CF4">
              <w:rPr>
                <w:rFonts w:ascii="Calibri" w:eastAsia="Times New Roman" w:hAnsi="Calibri" w:cs="Calibri"/>
                <w:color w:val="000000"/>
                <w:lang w:eastAsia="en-GB"/>
              </w:rPr>
              <w:t xml:space="preserve">hin 6 months of start of scheme, or where the property is newly acquired and the </w:t>
            </w:r>
            <w:r w:rsidR="006F0993">
              <w:rPr>
                <w:rFonts w:ascii="Calibri" w:eastAsia="Times New Roman" w:hAnsi="Calibri" w:cs="Calibri"/>
                <w:color w:val="000000"/>
                <w:lang w:eastAsia="en-GB"/>
              </w:rPr>
              <w:t xml:space="preserve">application is made within </w:t>
            </w:r>
            <w:r w:rsidR="00F57CF4">
              <w:rPr>
                <w:rFonts w:ascii="Calibri" w:eastAsia="Times New Roman" w:hAnsi="Calibri" w:cs="Calibri"/>
                <w:color w:val="000000"/>
                <w:lang w:eastAsia="en-GB"/>
              </w:rPr>
              <w:t xml:space="preserve">3 months of the acquisition date </w:t>
            </w:r>
          </w:p>
        </w:tc>
        <w:tc>
          <w:tcPr>
            <w:tcW w:w="1417" w:type="dxa"/>
          </w:tcPr>
          <w:p w14:paraId="3AF1C7D9" w14:textId="77777777" w:rsidR="002C7882" w:rsidRPr="0025346E" w:rsidRDefault="002C7882" w:rsidP="00C504CD">
            <w:pPr>
              <w:rPr>
                <w:rFonts w:ascii="Calibri" w:eastAsia="Times New Roman" w:hAnsi="Calibri" w:cs="Calibri"/>
                <w:b/>
                <w:color w:val="000000"/>
                <w:lang w:eastAsia="en-GB"/>
              </w:rPr>
            </w:pPr>
            <w:r w:rsidRPr="0025346E">
              <w:rPr>
                <w:rFonts w:ascii="Calibri" w:eastAsia="Times New Roman" w:hAnsi="Calibri" w:cs="Calibri"/>
                <w:b/>
                <w:color w:val="000000"/>
                <w:lang w:eastAsia="en-GB"/>
              </w:rPr>
              <w:t>£480</w:t>
            </w:r>
          </w:p>
        </w:tc>
        <w:tc>
          <w:tcPr>
            <w:tcW w:w="1701" w:type="dxa"/>
          </w:tcPr>
          <w:p w14:paraId="688CA70C" w14:textId="77777777" w:rsidR="002C7882" w:rsidRPr="00D972D1" w:rsidRDefault="002C7882" w:rsidP="00787773">
            <w:pPr>
              <w:rPr>
                <w:rFonts w:ascii="Calibri" w:eastAsia="Times New Roman" w:hAnsi="Calibri" w:cs="Calibri"/>
                <w:color w:val="000000"/>
                <w:lang w:eastAsia="en-GB"/>
              </w:rPr>
            </w:pPr>
            <w:r w:rsidRPr="00D972D1">
              <w:rPr>
                <w:rFonts w:ascii="Calibri" w:eastAsia="Times New Roman" w:hAnsi="Calibri" w:cs="Calibri"/>
                <w:color w:val="000000"/>
                <w:lang w:eastAsia="en-GB"/>
              </w:rPr>
              <w:t>£17</w:t>
            </w:r>
            <w:r w:rsidR="00787773" w:rsidRPr="00D972D1">
              <w:rPr>
                <w:rFonts w:ascii="Calibri" w:eastAsia="Times New Roman" w:hAnsi="Calibri" w:cs="Calibri"/>
                <w:color w:val="000000"/>
                <w:lang w:eastAsia="en-GB"/>
              </w:rPr>
              <w:t>0</w:t>
            </w:r>
          </w:p>
        </w:tc>
        <w:tc>
          <w:tcPr>
            <w:tcW w:w="1650" w:type="dxa"/>
          </w:tcPr>
          <w:p w14:paraId="76F161AE" w14:textId="77777777" w:rsidR="002C7882" w:rsidRPr="00D972D1" w:rsidRDefault="002C7882" w:rsidP="00787773">
            <w:pPr>
              <w:rPr>
                <w:rFonts w:ascii="Calibri" w:eastAsia="Times New Roman" w:hAnsi="Calibri" w:cs="Calibri"/>
                <w:color w:val="000000"/>
                <w:lang w:eastAsia="en-GB"/>
              </w:rPr>
            </w:pPr>
            <w:r w:rsidRPr="00D972D1">
              <w:rPr>
                <w:rFonts w:ascii="Calibri" w:eastAsia="Times New Roman" w:hAnsi="Calibri" w:cs="Calibri"/>
                <w:color w:val="000000"/>
                <w:lang w:eastAsia="en-GB"/>
              </w:rPr>
              <w:t>£3</w:t>
            </w:r>
            <w:r w:rsidR="00787773" w:rsidRPr="00D972D1">
              <w:rPr>
                <w:rFonts w:ascii="Calibri" w:eastAsia="Times New Roman" w:hAnsi="Calibri" w:cs="Calibri"/>
                <w:color w:val="000000"/>
                <w:lang w:eastAsia="en-GB"/>
              </w:rPr>
              <w:t>10</w:t>
            </w:r>
          </w:p>
        </w:tc>
      </w:tr>
      <w:tr w:rsidR="008B5CF4" w14:paraId="6A8FB47C" w14:textId="77777777" w:rsidTr="00C504CD">
        <w:tc>
          <w:tcPr>
            <w:tcW w:w="1803" w:type="dxa"/>
          </w:tcPr>
          <w:p w14:paraId="3ACFF503" w14:textId="77777777" w:rsidR="008B5CF4" w:rsidRPr="00D972D1" w:rsidRDefault="005955C0" w:rsidP="005955C0">
            <w:pPr>
              <w:rPr>
                <w:rFonts w:ascii="Calibri" w:eastAsia="Times New Roman" w:hAnsi="Calibri" w:cs="Calibri"/>
                <w:color w:val="000000"/>
                <w:lang w:eastAsia="en-GB"/>
              </w:rPr>
            </w:pPr>
            <w:r>
              <w:rPr>
                <w:rFonts w:ascii="Calibri" w:eastAsia="Times New Roman" w:hAnsi="Calibri" w:cs="Calibri"/>
                <w:color w:val="000000"/>
                <w:lang w:eastAsia="en-GB"/>
              </w:rPr>
              <w:t xml:space="preserve">SA1 Higher new application fee </w:t>
            </w:r>
          </w:p>
        </w:tc>
        <w:tc>
          <w:tcPr>
            <w:tcW w:w="2445" w:type="dxa"/>
          </w:tcPr>
          <w:p w14:paraId="56F755F2" w14:textId="77777777" w:rsidR="008B5CF4" w:rsidRPr="00D972D1" w:rsidRDefault="005955C0" w:rsidP="00204C26">
            <w:pPr>
              <w:rPr>
                <w:rFonts w:ascii="Calibri" w:eastAsia="Times New Roman" w:hAnsi="Calibri" w:cs="Calibri"/>
                <w:color w:val="000000"/>
                <w:lang w:eastAsia="en-GB"/>
              </w:rPr>
            </w:pPr>
            <w:r>
              <w:rPr>
                <w:rFonts w:ascii="Calibri" w:eastAsia="Times New Roman" w:hAnsi="Calibri" w:cs="Calibri"/>
                <w:color w:val="000000"/>
                <w:lang w:eastAsia="en-GB"/>
              </w:rPr>
              <w:t>New</w:t>
            </w:r>
            <w:r w:rsidR="008B5CF4">
              <w:rPr>
                <w:rFonts w:ascii="Calibri" w:eastAsia="Times New Roman" w:hAnsi="Calibri" w:cs="Calibri"/>
                <w:color w:val="000000"/>
                <w:lang w:eastAsia="en-GB"/>
              </w:rPr>
              <w:t xml:space="preserve"> application made after 6 months of scheme designation date </w:t>
            </w:r>
          </w:p>
        </w:tc>
        <w:tc>
          <w:tcPr>
            <w:tcW w:w="1417" w:type="dxa"/>
          </w:tcPr>
          <w:p w14:paraId="69A9074B" w14:textId="77777777" w:rsidR="008B5CF4" w:rsidRPr="0025346E" w:rsidRDefault="008B5CF4" w:rsidP="00C504CD">
            <w:pPr>
              <w:rPr>
                <w:rFonts w:ascii="Calibri" w:eastAsia="Times New Roman" w:hAnsi="Calibri" w:cs="Calibri"/>
                <w:b/>
                <w:color w:val="000000"/>
                <w:lang w:eastAsia="en-GB"/>
              </w:rPr>
            </w:pPr>
            <w:r w:rsidRPr="0025346E">
              <w:rPr>
                <w:rFonts w:ascii="Calibri" w:eastAsia="Times New Roman" w:hAnsi="Calibri" w:cs="Calibri"/>
                <w:b/>
                <w:color w:val="000000"/>
                <w:lang w:eastAsia="en-GB"/>
              </w:rPr>
              <w:t>£1100</w:t>
            </w:r>
          </w:p>
        </w:tc>
        <w:tc>
          <w:tcPr>
            <w:tcW w:w="1701" w:type="dxa"/>
          </w:tcPr>
          <w:p w14:paraId="1489B50C" w14:textId="77777777" w:rsidR="008B5CF4" w:rsidRPr="00D972D1" w:rsidRDefault="008B5CF4" w:rsidP="00787773">
            <w:pPr>
              <w:rPr>
                <w:rFonts w:ascii="Calibri" w:eastAsia="Times New Roman" w:hAnsi="Calibri" w:cs="Calibri"/>
                <w:color w:val="000000"/>
                <w:lang w:eastAsia="en-GB"/>
              </w:rPr>
            </w:pPr>
            <w:r>
              <w:rPr>
                <w:rFonts w:ascii="Calibri" w:eastAsia="Times New Roman" w:hAnsi="Calibri" w:cs="Calibri"/>
                <w:color w:val="000000"/>
                <w:lang w:eastAsia="en-GB"/>
              </w:rPr>
              <w:t>£495</w:t>
            </w:r>
          </w:p>
        </w:tc>
        <w:tc>
          <w:tcPr>
            <w:tcW w:w="1650" w:type="dxa"/>
          </w:tcPr>
          <w:p w14:paraId="01F336F3" w14:textId="77777777" w:rsidR="008B5CF4" w:rsidRPr="00D972D1" w:rsidRDefault="008B5CF4" w:rsidP="00787773">
            <w:pPr>
              <w:rPr>
                <w:rFonts w:ascii="Calibri" w:eastAsia="Times New Roman" w:hAnsi="Calibri" w:cs="Calibri"/>
                <w:color w:val="000000"/>
                <w:lang w:eastAsia="en-GB"/>
              </w:rPr>
            </w:pPr>
            <w:r>
              <w:rPr>
                <w:rFonts w:ascii="Calibri" w:eastAsia="Times New Roman" w:hAnsi="Calibri" w:cs="Calibri"/>
                <w:color w:val="000000"/>
                <w:lang w:eastAsia="en-GB"/>
              </w:rPr>
              <w:t>£605</w:t>
            </w:r>
          </w:p>
        </w:tc>
      </w:tr>
    </w:tbl>
    <w:p w14:paraId="260BD955" w14:textId="77777777" w:rsidR="008B5CF4" w:rsidRDefault="008B5CF4"/>
    <w:p w14:paraId="2F9D6C05" w14:textId="77777777" w:rsidR="005955C0" w:rsidRPr="00CF7778" w:rsidRDefault="005955C0" w:rsidP="005955C0">
      <w:pPr>
        <w:rPr>
          <w:rFonts w:ascii="Arial" w:hAnsi="Arial" w:cs="Arial"/>
          <w:b/>
          <w:sz w:val="28"/>
          <w:szCs w:val="28"/>
        </w:rPr>
      </w:pPr>
      <w:r w:rsidRPr="00CF7778">
        <w:rPr>
          <w:rFonts w:ascii="Arial" w:hAnsi="Arial" w:cs="Arial"/>
          <w:b/>
          <w:sz w:val="28"/>
          <w:szCs w:val="28"/>
        </w:rPr>
        <w:t xml:space="preserve">Discounts </w:t>
      </w:r>
    </w:p>
    <w:p w14:paraId="4545C300" w14:textId="22E8E37E" w:rsidR="00E83F67" w:rsidRPr="009F1744" w:rsidRDefault="005955C0" w:rsidP="002343BA">
      <w:pPr>
        <w:rPr>
          <w:rFonts w:ascii="Arial" w:hAnsi="Arial" w:cs="Arial"/>
        </w:rPr>
      </w:pPr>
      <w:r>
        <w:rPr>
          <w:rFonts w:ascii="Arial" w:hAnsi="Arial" w:cs="Arial"/>
        </w:rPr>
        <w:t xml:space="preserve">Discounts </w:t>
      </w:r>
      <w:r w:rsidR="00CA0041">
        <w:rPr>
          <w:rFonts w:ascii="Arial" w:hAnsi="Arial" w:cs="Arial"/>
        </w:rPr>
        <w:t xml:space="preserve">will </w:t>
      </w:r>
      <w:r>
        <w:rPr>
          <w:rFonts w:ascii="Arial" w:hAnsi="Arial" w:cs="Arial"/>
        </w:rPr>
        <w:t>be offered to incentivise landlords to make applications promptly, recognise compliant landlords / agents</w:t>
      </w:r>
      <w:r w:rsidR="00236025">
        <w:rPr>
          <w:rFonts w:ascii="Arial" w:hAnsi="Arial" w:cs="Arial"/>
        </w:rPr>
        <w:t xml:space="preserve"> and </w:t>
      </w:r>
      <w:r w:rsidR="00CA0041">
        <w:rPr>
          <w:rFonts w:ascii="Arial" w:hAnsi="Arial" w:cs="Arial"/>
        </w:rPr>
        <w:t xml:space="preserve">could be offered to </w:t>
      </w:r>
      <w:r>
        <w:rPr>
          <w:rFonts w:ascii="Arial" w:hAnsi="Arial" w:cs="Arial"/>
        </w:rPr>
        <w:t xml:space="preserve">support landlords who work with the Council to provide accommodation </w:t>
      </w:r>
      <w:r w:rsidR="002343BA">
        <w:rPr>
          <w:rFonts w:ascii="Arial" w:hAnsi="Arial" w:cs="Arial"/>
        </w:rPr>
        <w:t xml:space="preserve">for vulnerable persons. In addition, discounts are available for specific building types in recognition of lower administration costs. </w:t>
      </w:r>
      <w:r w:rsidR="00E83F67" w:rsidRPr="009F1744">
        <w:rPr>
          <w:rFonts w:ascii="Arial" w:hAnsi="Arial" w:cs="Arial"/>
        </w:rPr>
        <w:t>Compliant landlords should benefit from paying lower fees.</w:t>
      </w:r>
      <w:r w:rsidR="006A050A">
        <w:rPr>
          <w:rFonts w:ascii="Arial" w:hAnsi="Arial" w:cs="Arial"/>
        </w:rPr>
        <w:t xml:space="preserve"> For any discount to apply a full application must be submitted without the need for the council to request any further information from the applicant. </w:t>
      </w:r>
    </w:p>
    <w:p w14:paraId="20569FE8" w14:textId="77777777" w:rsidR="002343BA" w:rsidRDefault="002343BA" w:rsidP="002343BA">
      <w:pPr>
        <w:rPr>
          <w:rFonts w:ascii="Arial" w:hAnsi="Arial" w:cs="Arial"/>
        </w:rPr>
      </w:pPr>
      <w:r>
        <w:rPr>
          <w:rFonts w:ascii="Arial" w:hAnsi="Arial" w:cs="Arial"/>
        </w:rPr>
        <w:t xml:space="preserve">Only one discount will be applied to the fee which will be applied to the stage 2 fee. </w:t>
      </w:r>
    </w:p>
    <w:p w14:paraId="36415702" w14:textId="77777777" w:rsidR="005955C0" w:rsidRDefault="005955C0" w:rsidP="005955C0">
      <w:pPr>
        <w:rPr>
          <w:rFonts w:ascii="Arial" w:hAnsi="Arial" w:cs="Arial"/>
          <w:sz w:val="24"/>
          <w:szCs w:val="24"/>
        </w:rPr>
      </w:pPr>
      <w:r>
        <w:rPr>
          <w:rFonts w:ascii="Arial" w:hAnsi="Arial" w:cs="Arial"/>
          <w:sz w:val="24"/>
          <w:szCs w:val="24"/>
        </w:rPr>
        <w:t xml:space="preserve"> </w:t>
      </w:r>
    </w:p>
    <w:p w14:paraId="03B3A566" w14:textId="77777777" w:rsidR="00933394" w:rsidRDefault="00933394" w:rsidP="005955C0">
      <w:pPr>
        <w:rPr>
          <w:rFonts w:ascii="Arial" w:hAnsi="Arial" w:cs="Arial"/>
          <w:sz w:val="24"/>
          <w:szCs w:val="24"/>
        </w:rPr>
      </w:pPr>
    </w:p>
    <w:p w14:paraId="1DDCD9FA" w14:textId="77777777" w:rsidR="00933394" w:rsidRDefault="00933394" w:rsidP="005955C0">
      <w:pPr>
        <w:rPr>
          <w:rFonts w:ascii="Arial" w:hAnsi="Arial" w:cs="Arial"/>
          <w:sz w:val="24"/>
          <w:szCs w:val="24"/>
        </w:rPr>
      </w:pPr>
    </w:p>
    <w:p w14:paraId="3CA30DD5" w14:textId="77777777" w:rsidR="00933394" w:rsidRDefault="00933394" w:rsidP="005955C0">
      <w:pPr>
        <w:rPr>
          <w:rFonts w:ascii="Arial" w:hAnsi="Arial" w:cs="Arial"/>
          <w:sz w:val="24"/>
          <w:szCs w:val="24"/>
        </w:rPr>
      </w:pPr>
    </w:p>
    <w:p w14:paraId="56567F31" w14:textId="77777777" w:rsidR="00204C26" w:rsidRDefault="00204C26" w:rsidP="005955C0">
      <w:pPr>
        <w:rPr>
          <w:rFonts w:ascii="Arial" w:hAnsi="Arial" w:cs="Arial"/>
          <w:sz w:val="24"/>
          <w:szCs w:val="24"/>
        </w:rPr>
      </w:pPr>
    </w:p>
    <w:p w14:paraId="4F5A5A55" w14:textId="77777777" w:rsidR="00E83F67" w:rsidRDefault="00E83F67" w:rsidP="005955C0">
      <w:pPr>
        <w:rPr>
          <w:rFonts w:ascii="Arial" w:hAnsi="Arial" w:cs="Arial"/>
          <w:sz w:val="24"/>
          <w:szCs w:val="24"/>
        </w:rPr>
      </w:pPr>
    </w:p>
    <w:tbl>
      <w:tblPr>
        <w:tblStyle w:val="TableGrid"/>
        <w:tblW w:w="9464" w:type="dxa"/>
        <w:tblLook w:val="04A0" w:firstRow="1" w:lastRow="0" w:firstColumn="1" w:lastColumn="0" w:noHBand="0" w:noVBand="1"/>
      </w:tblPr>
      <w:tblGrid>
        <w:gridCol w:w="1626"/>
        <w:gridCol w:w="6562"/>
        <w:gridCol w:w="1276"/>
      </w:tblGrid>
      <w:tr w:rsidR="00F53E9B" w:rsidRPr="00787773" w14:paraId="6B818554" w14:textId="77777777" w:rsidTr="00F53E9B">
        <w:trPr>
          <w:trHeight w:val="416"/>
        </w:trPr>
        <w:tc>
          <w:tcPr>
            <w:tcW w:w="9464" w:type="dxa"/>
            <w:gridSpan w:val="3"/>
            <w:shd w:val="clear" w:color="auto" w:fill="D9D9D9" w:themeFill="background1" w:themeFillShade="D9"/>
          </w:tcPr>
          <w:p w14:paraId="58485F6C" w14:textId="77777777" w:rsidR="00F53E9B" w:rsidRPr="00787773" w:rsidRDefault="00F53E9B" w:rsidP="00815325">
            <w:pPr>
              <w:rPr>
                <w:rFonts w:ascii="Arial" w:hAnsi="Arial" w:cs="Arial"/>
                <w:b/>
                <w:sz w:val="24"/>
                <w:szCs w:val="24"/>
              </w:rPr>
            </w:pPr>
            <w:r w:rsidRPr="00787773">
              <w:rPr>
                <w:rFonts w:ascii="Arial" w:hAnsi="Arial" w:cs="Arial"/>
                <w:b/>
                <w:sz w:val="24"/>
                <w:szCs w:val="24"/>
              </w:rPr>
              <w:t xml:space="preserve">Table </w:t>
            </w:r>
            <w:r>
              <w:rPr>
                <w:rFonts w:ascii="Arial" w:hAnsi="Arial" w:cs="Arial"/>
                <w:b/>
                <w:sz w:val="24"/>
                <w:szCs w:val="24"/>
              </w:rPr>
              <w:t>2</w:t>
            </w:r>
            <w:r w:rsidRPr="00787773">
              <w:rPr>
                <w:rFonts w:ascii="Arial" w:hAnsi="Arial" w:cs="Arial"/>
                <w:b/>
                <w:sz w:val="24"/>
                <w:szCs w:val="24"/>
              </w:rPr>
              <w:t xml:space="preserve">: Proposed </w:t>
            </w:r>
            <w:r>
              <w:rPr>
                <w:rFonts w:ascii="Arial" w:hAnsi="Arial" w:cs="Arial"/>
                <w:b/>
                <w:sz w:val="24"/>
                <w:szCs w:val="24"/>
              </w:rPr>
              <w:t xml:space="preserve">Discounts </w:t>
            </w:r>
          </w:p>
        </w:tc>
      </w:tr>
      <w:tr w:rsidR="00F53E9B" w14:paraId="03C79827" w14:textId="77777777" w:rsidTr="00F53E9B">
        <w:tc>
          <w:tcPr>
            <w:tcW w:w="1626" w:type="dxa"/>
          </w:tcPr>
          <w:p w14:paraId="62E4D236" w14:textId="77777777" w:rsidR="00F53E9B" w:rsidRDefault="00F53E9B" w:rsidP="00815325">
            <w:pPr>
              <w:rPr>
                <w:rFonts w:ascii="Arial" w:hAnsi="Arial" w:cs="Arial"/>
                <w:sz w:val="24"/>
                <w:szCs w:val="24"/>
              </w:rPr>
            </w:pPr>
            <w:r>
              <w:rPr>
                <w:rFonts w:ascii="Arial" w:hAnsi="Arial" w:cs="Arial"/>
                <w:sz w:val="24"/>
                <w:szCs w:val="24"/>
              </w:rPr>
              <w:t>Category</w:t>
            </w:r>
          </w:p>
        </w:tc>
        <w:tc>
          <w:tcPr>
            <w:tcW w:w="6562" w:type="dxa"/>
          </w:tcPr>
          <w:p w14:paraId="7F6154A1" w14:textId="77777777" w:rsidR="00F53E9B" w:rsidRDefault="00F53E9B" w:rsidP="00815325">
            <w:pPr>
              <w:rPr>
                <w:rFonts w:ascii="Arial" w:hAnsi="Arial" w:cs="Arial"/>
                <w:sz w:val="24"/>
                <w:szCs w:val="24"/>
              </w:rPr>
            </w:pPr>
            <w:r>
              <w:rPr>
                <w:rFonts w:ascii="Arial" w:hAnsi="Arial" w:cs="Arial"/>
                <w:sz w:val="24"/>
                <w:szCs w:val="24"/>
              </w:rPr>
              <w:t>Description</w:t>
            </w:r>
          </w:p>
        </w:tc>
        <w:tc>
          <w:tcPr>
            <w:tcW w:w="1276" w:type="dxa"/>
          </w:tcPr>
          <w:p w14:paraId="53F89DB9" w14:textId="77777777" w:rsidR="00F53E9B" w:rsidRPr="0025346E" w:rsidRDefault="00F53E9B" w:rsidP="00815325">
            <w:pPr>
              <w:rPr>
                <w:rFonts w:ascii="Arial" w:hAnsi="Arial" w:cs="Arial"/>
                <w:b/>
                <w:sz w:val="24"/>
                <w:szCs w:val="24"/>
              </w:rPr>
            </w:pPr>
            <w:r>
              <w:rPr>
                <w:rFonts w:ascii="Arial" w:hAnsi="Arial" w:cs="Arial"/>
                <w:b/>
                <w:sz w:val="24"/>
                <w:szCs w:val="24"/>
              </w:rPr>
              <w:t>Discount amount</w:t>
            </w:r>
          </w:p>
        </w:tc>
      </w:tr>
      <w:tr w:rsidR="00F53E9B" w14:paraId="54E7C94E" w14:textId="77777777" w:rsidTr="00F53E9B">
        <w:tc>
          <w:tcPr>
            <w:tcW w:w="1626" w:type="dxa"/>
          </w:tcPr>
          <w:p w14:paraId="1B24D0C2" w14:textId="77777777" w:rsidR="00F53E9B" w:rsidRPr="00A3529C" w:rsidRDefault="00F53E9B" w:rsidP="00815325">
            <w:pPr>
              <w:rPr>
                <w:rFonts w:ascii="Calibri" w:eastAsia="Times New Roman" w:hAnsi="Calibri" w:cs="Calibri"/>
                <w:b/>
                <w:color w:val="000000"/>
                <w:lang w:eastAsia="en-GB"/>
              </w:rPr>
            </w:pPr>
            <w:r w:rsidRPr="00A3529C">
              <w:rPr>
                <w:rFonts w:ascii="Calibri" w:eastAsia="Times New Roman" w:hAnsi="Calibri" w:cs="Calibri"/>
                <w:b/>
                <w:color w:val="000000"/>
                <w:lang w:eastAsia="en-GB"/>
              </w:rPr>
              <w:t>Early bird</w:t>
            </w:r>
          </w:p>
        </w:tc>
        <w:tc>
          <w:tcPr>
            <w:tcW w:w="6562" w:type="dxa"/>
          </w:tcPr>
          <w:p w14:paraId="6E696BFB" w14:textId="77777777" w:rsidR="00F53E9B" w:rsidRPr="00D972D1" w:rsidRDefault="00F53E9B" w:rsidP="00CD4C40">
            <w:pPr>
              <w:rPr>
                <w:rFonts w:ascii="Calibri" w:eastAsia="Times New Roman" w:hAnsi="Calibri" w:cs="Calibri"/>
                <w:color w:val="000000"/>
                <w:lang w:eastAsia="en-GB"/>
              </w:rPr>
            </w:pPr>
            <w:r w:rsidRPr="00D972D1">
              <w:rPr>
                <w:rFonts w:ascii="Calibri" w:eastAsia="Times New Roman" w:hAnsi="Calibri" w:cs="Calibri"/>
                <w:color w:val="000000"/>
                <w:lang w:eastAsia="en-GB"/>
              </w:rPr>
              <w:t xml:space="preserve">Where </w:t>
            </w:r>
            <w:r w:rsidRPr="00E83F67">
              <w:rPr>
                <w:rFonts w:ascii="Calibri" w:eastAsia="Times New Roman" w:hAnsi="Calibri" w:cs="Calibri"/>
                <w:color w:val="000000"/>
                <w:lang w:eastAsia="en-GB"/>
              </w:rPr>
              <w:t xml:space="preserve">a complete application is made within </w:t>
            </w:r>
            <w:r>
              <w:rPr>
                <w:rFonts w:ascii="Calibri" w:eastAsia="Times New Roman" w:hAnsi="Calibri" w:cs="Calibri"/>
                <w:color w:val="000000"/>
                <w:lang w:eastAsia="en-GB"/>
              </w:rPr>
              <w:t>6</w:t>
            </w:r>
            <w:r w:rsidRPr="00E83F67">
              <w:rPr>
                <w:rFonts w:ascii="Calibri" w:eastAsia="Times New Roman" w:hAnsi="Calibri" w:cs="Calibri"/>
                <w:color w:val="000000"/>
                <w:lang w:eastAsia="en-GB"/>
              </w:rPr>
              <w:t xml:space="preserve"> months of the scheme commencement date. Maximising the number of applications received early will reduce the amount of work needed to find unlicensed properties. Receiving documentation with the application reduces the amount of time needed to request and check documentation and also demonstrates landlord compliance.</w:t>
            </w:r>
            <w:r w:rsidRPr="0060678D">
              <w:rPr>
                <w:rFonts w:ascii="Arial" w:hAnsi="Arial" w:cs="Arial"/>
                <w:sz w:val="24"/>
                <w:szCs w:val="24"/>
              </w:rPr>
              <w:t xml:space="preserve"> </w:t>
            </w:r>
          </w:p>
        </w:tc>
        <w:tc>
          <w:tcPr>
            <w:tcW w:w="1276" w:type="dxa"/>
          </w:tcPr>
          <w:p w14:paraId="5D605D4A" w14:textId="77777777" w:rsidR="00F53E9B" w:rsidRPr="0025346E" w:rsidRDefault="00F53E9B" w:rsidP="00815325">
            <w:pPr>
              <w:rPr>
                <w:rFonts w:ascii="Calibri" w:eastAsia="Times New Roman" w:hAnsi="Calibri" w:cs="Calibri"/>
                <w:b/>
                <w:color w:val="000000"/>
                <w:lang w:eastAsia="en-GB"/>
              </w:rPr>
            </w:pPr>
            <w:r>
              <w:rPr>
                <w:rFonts w:ascii="Calibri" w:eastAsia="Times New Roman" w:hAnsi="Calibri" w:cs="Calibri"/>
                <w:b/>
                <w:color w:val="000000"/>
                <w:lang w:eastAsia="en-GB"/>
              </w:rPr>
              <w:t>£80</w:t>
            </w:r>
          </w:p>
        </w:tc>
      </w:tr>
      <w:tr w:rsidR="00F53E9B" w14:paraId="2C1B1DE4" w14:textId="77777777" w:rsidTr="00F53E9B">
        <w:tc>
          <w:tcPr>
            <w:tcW w:w="1626" w:type="dxa"/>
          </w:tcPr>
          <w:p w14:paraId="5B22A4FA" w14:textId="77777777" w:rsidR="00F53E9B" w:rsidRPr="00A3529C" w:rsidRDefault="00F53E9B" w:rsidP="00815325">
            <w:pPr>
              <w:rPr>
                <w:rFonts w:ascii="Calibri" w:eastAsia="Times New Roman" w:hAnsi="Calibri" w:cs="Calibri"/>
                <w:b/>
                <w:color w:val="000000"/>
                <w:lang w:eastAsia="en-GB"/>
              </w:rPr>
            </w:pPr>
            <w:r w:rsidRPr="00A3529C">
              <w:rPr>
                <w:rFonts w:ascii="Calibri" w:eastAsia="Times New Roman" w:hAnsi="Calibri" w:cs="Calibri"/>
                <w:b/>
                <w:color w:val="000000"/>
                <w:lang w:eastAsia="en-GB"/>
              </w:rPr>
              <w:t xml:space="preserve">Early Bird and Accreditation </w:t>
            </w:r>
          </w:p>
        </w:tc>
        <w:tc>
          <w:tcPr>
            <w:tcW w:w="6562" w:type="dxa"/>
          </w:tcPr>
          <w:p w14:paraId="5B1FFD62" w14:textId="77777777" w:rsidR="00F53E9B" w:rsidRPr="00D972D1" w:rsidRDefault="00F53E9B" w:rsidP="00E83F67">
            <w:pPr>
              <w:rPr>
                <w:rFonts w:ascii="Calibri" w:eastAsia="Times New Roman" w:hAnsi="Calibri" w:cs="Calibri"/>
                <w:color w:val="000000"/>
                <w:lang w:eastAsia="en-GB"/>
              </w:rPr>
            </w:pPr>
            <w:r w:rsidRPr="00E83F67">
              <w:rPr>
                <w:rFonts w:ascii="Calibri" w:eastAsia="Times New Roman" w:hAnsi="Calibri" w:cs="Calibri"/>
                <w:color w:val="000000"/>
                <w:lang w:eastAsia="en-GB"/>
              </w:rPr>
              <w:t>The most compliant landlords / agents are members of recognised accreditation schemes demonstrating professional competence. These landlords / agents are expected to make their application early and so will benefit from “early bird” discount. In addition, it is judged that properties managed by an accredited person will not need to be inspected and so this will reduce the time required by the council to administer the scheme and so these landlords should benefit from an additional discount.</w:t>
            </w:r>
          </w:p>
        </w:tc>
        <w:tc>
          <w:tcPr>
            <w:tcW w:w="1276" w:type="dxa"/>
          </w:tcPr>
          <w:p w14:paraId="75488E63" w14:textId="77777777" w:rsidR="00F53E9B" w:rsidRPr="0025346E" w:rsidRDefault="00F53E9B" w:rsidP="00815325">
            <w:pPr>
              <w:rPr>
                <w:rFonts w:ascii="Calibri" w:eastAsia="Times New Roman" w:hAnsi="Calibri" w:cs="Calibri"/>
                <w:b/>
                <w:color w:val="000000"/>
                <w:lang w:eastAsia="en-GB"/>
              </w:rPr>
            </w:pPr>
            <w:r w:rsidRPr="0025346E">
              <w:rPr>
                <w:rFonts w:ascii="Calibri" w:eastAsia="Times New Roman" w:hAnsi="Calibri" w:cs="Calibri"/>
                <w:b/>
                <w:color w:val="000000"/>
                <w:lang w:eastAsia="en-GB"/>
              </w:rPr>
              <w:t>£</w:t>
            </w:r>
            <w:r>
              <w:rPr>
                <w:rFonts w:ascii="Calibri" w:eastAsia="Times New Roman" w:hAnsi="Calibri" w:cs="Calibri"/>
                <w:b/>
                <w:color w:val="000000"/>
                <w:lang w:eastAsia="en-GB"/>
              </w:rPr>
              <w:t>180</w:t>
            </w:r>
          </w:p>
          <w:p w14:paraId="7B8B5A7B" w14:textId="77777777" w:rsidR="00F53E9B" w:rsidRPr="0025346E" w:rsidRDefault="00F53E9B" w:rsidP="00815325">
            <w:pPr>
              <w:rPr>
                <w:rFonts w:ascii="Calibri" w:eastAsia="Times New Roman" w:hAnsi="Calibri" w:cs="Calibri"/>
                <w:b/>
                <w:color w:val="000000"/>
                <w:lang w:eastAsia="en-GB"/>
              </w:rPr>
            </w:pPr>
          </w:p>
        </w:tc>
      </w:tr>
      <w:tr w:rsidR="00F53E9B" w14:paraId="5CC02677" w14:textId="77777777" w:rsidTr="00F53E9B">
        <w:tc>
          <w:tcPr>
            <w:tcW w:w="1626" w:type="dxa"/>
          </w:tcPr>
          <w:p w14:paraId="27567B63" w14:textId="77777777" w:rsidR="00F53E9B" w:rsidRPr="00AB771E" w:rsidRDefault="00F53E9B" w:rsidP="00815325">
            <w:pPr>
              <w:rPr>
                <w:rFonts w:cstheme="minorHAnsi"/>
                <w:b/>
              </w:rPr>
            </w:pPr>
            <w:r>
              <w:rPr>
                <w:rFonts w:cstheme="minorHAnsi"/>
                <w:b/>
              </w:rPr>
              <w:t xml:space="preserve">Accreditation </w:t>
            </w:r>
          </w:p>
        </w:tc>
        <w:tc>
          <w:tcPr>
            <w:tcW w:w="6562" w:type="dxa"/>
          </w:tcPr>
          <w:p w14:paraId="3BC84A59" w14:textId="77777777" w:rsidR="00F53E9B" w:rsidRPr="00AB771E" w:rsidRDefault="00F53E9B" w:rsidP="00CD4C40">
            <w:pPr>
              <w:rPr>
                <w:rFonts w:cstheme="minorHAnsi"/>
              </w:rPr>
            </w:pPr>
            <w:r w:rsidRPr="00FA3EF5">
              <w:rPr>
                <w:rFonts w:ascii="Calibri" w:eastAsia="Times New Roman" w:hAnsi="Calibri" w:cs="Calibri"/>
                <w:color w:val="000000"/>
                <w:lang w:eastAsia="en-GB"/>
              </w:rPr>
              <w:t>This will be applied where a landlord who is accredited with a recognised accreditation scheme acquires a new property and applies for a licence within 3 months of the purchase date or where there is a change in the licence holder to an accredited landlord. The discount is applied to reflect the reduced inspection time</w:t>
            </w:r>
          </w:p>
        </w:tc>
        <w:tc>
          <w:tcPr>
            <w:tcW w:w="1276" w:type="dxa"/>
          </w:tcPr>
          <w:p w14:paraId="0DD919D1" w14:textId="77777777" w:rsidR="00F53E9B" w:rsidRDefault="00F53E9B" w:rsidP="00815325">
            <w:pPr>
              <w:rPr>
                <w:rFonts w:ascii="Calibri" w:eastAsia="Times New Roman" w:hAnsi="Calibri" w:cs="Calibri"/>
                <w:b/>
                <w:color w:val="000000"/>
                <w:lang w:eastAsia="en-GB"/>
              </w:rPr>
            </w:pPr>
            <w:r>
              <w:rPr>
                <w:rFonts w:ascii="Calibri" w:eastAsia="Times New Roman" w:hAnsi="Calibri" w:cs="Calibri"/>
                <w:b/>
                <w:color w:val="000000"/>
                <w:lang w:eastAsia="en-GB"/>
              </w:rPr>
              <w:t>£100</w:t>
            </w:r>
          </w:p>
        </w:tc>
      </w:tr>
      <w:tr w:rsidR="00F53E9B" w14:paraId="7750C031" w14:textId="77777777" w:rsidTr="00F53E9B">
        <w:tc>
          <w:tcPr>
            <w:tcW w:w="1626" w:type="dxa"/>
          </w:tcPr>
          <w:p w14:paraId="52907E44" w14:textId="77777777" w:rsidR="00F53E9B" w:rsidRDefault="00F53E9B" w:rsidP="00815325">
            <w:pPr>
              <w:rPr>
                <w:rFonts w:ascii="Calibri" w:eastAsia="Times New Roman" w:hAnsi="Calibri" w:cs="Calibri"/>
                <w:color w:val="000000"/>
                <w:lang w:eastAsia="en-GB"/>
              </w:rPr>
            </w:pPr>
            <w:r w:rsidRPr="00AB771E">
              <w:rPr>
                <w:rFonts w:cstheme="minorHAnsi"/>
                <w:b/>
              </w:rPr>
              <w:t>Charity</w:t>
            </w:r>
          </w:p>
        </w:tc>
        <w:tc>
          <w:tcPr>
            <w:tcW w:w="6562" w:type="dxa"/>
          </w:tcPr>
          <w:p w14:paraId="0C48EB25" w14:textId="77777777" w:rsidR="00F53E9B" w:rsidRPr="00655608" w:rsidRDefault="00F53E9B" w:rsidP="00F53E9B">
            <w:pPr>
              <w:ind w:left="34"/>
              <w:rPr>
                <w:rFonts w:cstheme="minorHAnsi"/>
              </w:rPr>
            </w:pPr>
            <w:r>
              <w:rPr>
                <w:rFonts w:cstheme="minorHAnsi"/>
              </w:rPr>
              <w:t>This will be applied where r</w:t>
            </w:r>
            <w:r w:rsidRPr="00AB771E">
              <w:rPr>
                <w:rFonts w:cstheme="minorHAnsi"/>
              </w:rPr>
              <w:t>egistered charities</w:t>
            </w:r>
            <w:r>
              <w:rPr>
                <w:rFonts w:cstheme="minorHAnsi"/>
              </w:rPr>
              <w:t>,</w:t>
            </w:r>
            <w:r w:rsidRPr="00AB771E">
              <w:rPr>
                <w:rFonts w:cstheme="minorHAnsi"/>
              </w:rPr>
              <w:t xml:space="preserve"> who are </w:t>
            </w:r>
            <w:r>
              <w:rPr>
                <w:rFonts w:cstheme="minorHAnsi"/>
              </w:rPr>
              <w:t xml:space="preserve">working with the Council and </w:t>
            </w:r>
            <w:r w:rsidRPr="00AB771E">
              <w:rPr>
                <w:rFonts w:cstheme="minorHAnsi"/>
              </w:rPr>
              <w:t xml:space="preserve">providing accommodation </w:t>
            </w:r>
            <w:r>
              <w:rPr>
                <w:rFonts w:cstheme="minorHAnsi"/>
              </w:rPr>
              <w:t>as part of the homeless pathway</w:t>
            </w:r>
            <w:r w:rsidRPr="00AB771E">
              <w:rPr>
                <w:rFonts w:cstheme="minorHAnsi"/>
              </w:rPr>
              <w:t>.</w:t>
            </w:r>
            <w:r>
              <w:rPr>
                <w:rFonts w:cstheme="minorHAnsi"/>
              </w:rPr>
              <w:t xml:space="preserve"> The discount would apply to full applications made within 12 months from t</w:t>
            </w:r>
            <w:r w:rsidR="006A050A">
              <w:rPr>
                <w:rFonts w:cstheme="minorHAnsi"/>
              </w:rPr>
              <w:t xml:space="preserve">he start of the scheme, this will assist where charities are operating a number of </w:t>
            </w:r>
            <w:r w:rsidR="009B2C11">
              <w:rPr>
                <w:rFonts w:cstheme="minorHAnsi"/>
              </w:rPr>
              <w:t>properties</w:t>
            </w:r>
            <w:r w:rsidR="006A050A">
              <w:rPr>
                <w:rFonts w:cstheme="minorHAnsi"/>
              </w:rPr>
              <w:t xml:space="preserve"> </w:t>
            </w:r>
            <w:r>
              <w:rPr>
                <w:rFonts w:cstheme="minorHAnsi"/>
              </w:rPr>
              <w:t xml:space="preserve"> </w:t>
            </w:r>
            <w:r w:rsidRPr="00AB771E">
              <w:rPr>
                <w:rFonts w:cstheme="minorHAnsi"/>
              </w:rPr>
              <w:t xml:space="preserve"> Such charities have different cost operating model</w:t>
            </w:r>
            <w:r>
              <w:rPr>
                <w:rFonts w:cstheme="minorHAnsi"/>
              </w:rPr>
              <w:t>s</w:t>
            </w:r>
            <w:r w:rsidRPr="00AB771E">
              <w:rPr>
                <w:rFonts w:cstheme="minorHAnsi"/>
              </w:rPr>
              <w:t xml:space="preserve"> and to charge a fee could heavily affect their ability to run their services.</w:t>
            </w:r>
          </w:p>
        </w:tc>
        <w:tc>
          <w:tcPr>
            <w:tcW w:w="1276" w:type="dxa"/>
          </w:tcPr>
          <w:p w14:paraId="6471A841" w14:textId="77777777" w:rsidR="00F53E9B" w:rsidRPr="0025346E" w:rsidRDefault="00F53E9B" w:rsidP="00815325">
            <w:pPr>
              <w:rPr>
                <w:rFonts w:ascii="Calibri" w:eastAsia="Times New Roman" w:hAnsi="Calibri" w:cs="Calibri"/>
                <w:b/>
                <w:color w:val="000000"/>
                <w:lang w:eastAsia="en-GB"/>
              </w:rPr>
            </w:pPr>
            <w:r>
              <w:rPr>
                <w:rFonts w:ascii="Calibri" w:eastAsia="Times New Roman" w:hAnsi="Calibri" w:cs="Calibri"/>
                <w:b/>
                <w:color w:val="000000"/>
                <w:lang w:eastAsia="en-GB"/>
              </w:rPr>
              <w:t>£180</w:t>
            </w:r>
          </w:p>
        </w:tc>
      </w:tr>
      <w:tr w:rsidR="00F53E9B" w14:paraId="40A7166A" w14:textId="77777777" w:rsidTr="00F53E9B">
        <w:tc>
          <w:tcPr>
            <w:tcW w:w="1626" w:type="dxa"/>
          </w:tcPr>
          <w:p w14:paraId="6FEA1E4B" w14:textId="77777777" w:rsidR="00F53E9B" w:rsidRPr="00AB771E" w:rsidRDefault="00F53E9B" w:rsidP="00815325">
            <w:pPr>
              <w:rPr>
                <w:rFonts w:cstheme="minorHAnsi"/>
                <w:b/>
              </w:rPr>
            </w:pPr>
            <w:r w:rsidRPr="00AB771E">
              <w:rPr>
                <w:rFonts w:cstheme="minorHAnsi"/>
                <w:b/>
              </w:rPr>
              <w:t>New Build</w:t>
            </w:r>
          </w:p>
        </w:tc>
        <w:tc>
          <w:tcPr>
            <w:tcW w:w="6562" w:type="dxa"/>
          </w:tcPr>
          <w:p w14:paraId="03992540" w14:textId="77777777" w:rsidR="00F53E9B" w:rsidRPr="00AB771E" w:rsidRDefault="00F53E9B" w:rsidP="004427BF">
            <w:pPr>
              <w:ind w:left="34"/>
              <w:rPr>
                <w:rFonts w:cstheme="minorHAnsi"/>
              </w:rPr>
            </w:pPr>
            <w:r>
              <w:rPr>
                <w:rFonts w:cstheme="minorHAnsi"/>
              </w:rPr>
              <w:t>A</w:t>
            </w:r>
            <w:r w:rsidRPr="00AB771E">
              <w:rPr>
                <w:rFonts w:cstheme="minorHAnsi"/>
              </w:rPr>
              <w:t>ny</w:t>
            </w:r>
            <w:r>
              <w:rPr>
                <w:rFonts w:cstheme="minorHAnsi"/>
              </w:rPr>
              <w:t xml:space="preserve"> new build</w:t>
            </w:r>
            <w:r w:rsidRPr="00AB771E">
              <w:rPr>
                <w:rFonts w:cstheme="minorHAnsi"/>
              </w:rPr>
              <w:t xml:space="preserve"> property whose first occupant is a </w:t>
            </w:r>
            <w:r>
              <w:rPr>
                <w:rFonts w:cstheme="minorHAnsi"/>
              </w:rPr>
              <w:t xml:space="preserve">private </w:t>
            </w:r>
            <w:r w:rsidRPr="00AB771E">
              <w:rPr>
                <w:rFonts w:cstheme="minorHAnsi"/>
              </w:rPr>
              <w:t xml:space="preserve">tenant </w:t>
            </w:r>
            <w:r>
              <w:rPr>
                <w:rFonts w:cstheme="minorHAnsi"/>
              </w:rPr>
              <w:t>(providing application is made within three months of occupation date).</w:t>
            </w:r>
            <w:r w:rsidRPr="004427BF">
              <w:rPr>
                <w:rFonts w:cstheme="minorHAnsi"/>
              </w:rPr>
              <w:t>this is to reflect that the property will meet the current building standards and an inspection would not be necessary</w:t>
            </w:r>
          </w:p>
        </w:tc>
        <w:tc>
          <w:tcPr>
            <w:tcW w:w="1276" w:type="dxa"/>
          </w:tcPr>
          <w:p w14:paraId="2536C16C" w14:textId="77777777" w:rsidR="00F53E9B" w:rsidRDefault="00F53E9B" w:rsidP="00815325">
            <w:pPr>
              <w:rPr>
                <w:rFonts w:ascii="Calibri" w:eastAsia="Times New Roman" w:hAnsi="Calibri" w:cs="Calibri"/>
                <w:b/>
                <w:color w:val="000000"/>
                <w:lang w:eastAsia="en-GB"/>
              </w:rPr>
            </w:pPr>
            <w:r>
              <w:rPr>
                <w:rFonts w:ascii="Calibri" w:eastAsia="Times New Roman" w:hAnsi="Calibri" w:cs="Calibri"/>
                <w:b/>
                <w:color w:val="000000"/>
                <w:lang w:eastAsia="en-GB"/>
              </w:rPr>
              <w:t>£220</w:t>
            </w:r>
          </w:p>
        </w:tc>
      </w:tr>
      <w:tr w:rsidR="00F53E9B" w14:paraId="53AC3517" w14:textId="77777777" w:rsidTr="00F53E9B">
        <w:tc>
          <w:tcPr>
            <w:tcW w:w="1626" w:type="dxa"/>
          </w:tcPr>
          <w:p w14:paraId="6513B39A" w14:textId="77777777" w:rsidR="00F53E9B" w:rsidRPr="00AB771E" w:rsidRDefault="00F53E9B" w:rsidP="00815325">
            <w:pPr>
              <w:rPr>
                <w:rFonts w:cstheme="minorHAnsi"/>
                <w:b/>
              </w:rPr>
            </w:pPr>
            <w:r>
              <w:rPr>
                <w:rFonts w:cstheme="minorHAnsi"/>
                <w:b/>
              </w:rPr>
              <w:t xml:space="preserve">Block </w:t>
            </w:r>
          </w:p>
        </w:tc>
        <w:tc>
          <w:tcPr>
            <w:tcW w:w="6562" w:type="dxa"/>
          </w:tcPr>
          <w:p w14:paraId="3FDE05A5" w14:textId="77777777" w:rsidR="00F53E9B" w:rsidRPr="00AB771E" w:rsidRDefault="00F53E9B" w:rsidP="00D038B0">
            <w:pPr>
              <w:ind w:left="34"/>
              <w:rPr>
                <w:rFonts w:cstheme="minorHAnsi"/>
              </w:rPr>
            </w:pPr>
            <w:r w:rsidRPr="00AB771E">
              <w:rPr>
                <w:rFonts w:cstheme="minorHAnsi"/>
              </w:rPr>
              <w:t>Where landlords own the freehold of a building and rent out flats within the building</w:t>
            </w:r>
            <w:r>
              <w:rPr>
                <w:rFonts w:cstheme="minorHAnsi"/>
              </w:rPr>
              <w:t xml:space="preserve"> </w:t>
            </w:r>
            <w:r w:rsidRPr="004427BF">
              <w:rPr>
                <w:rFonts w:cstheme="minorHAnsi"/>
              </w:rPr>
              <w:t xml:space="preserve">one licence is given covering the whole block.  The building will have been converted with building regulation approval. The first flat is charged at the full fee and then for each additional flat, a small fee is charged to cover extra checks made for each flat. </w:t>
            </w:r>
          </w:p>
        </w:tc>
        <w:tc>
          <w:tcPr>
            <w:tcW w:w="1276" w:type="dxa"/>
          </w:tcPr>
          <w:p w14:paraId="438B5798" w14:textId="77777777" w:rsidR="00F53E9B" w:rsidRPr="00B313F4" w:rsidRDefault="00F53E9B" w:rsidP="00D038B0">
            <w:pPr>
              <w:rPr>
                <w:rFonts w:ascii="Calibri" w:eastAsia="Times New Roman" w:hAnsi="Calibri" w:cs="Calibri"/>
                <w:b/>
                <w:color w:val="000000"/>
                <w:lang w:eastAsia="en-GB"/>
              </w:rPr>
            </w:pPr>
            <w:r w:rsidRPr="00B313F4">
              <w:rPr>
                <w:rFonts w:cstheme="minorHAnsi"/>
                <w:b/>
              </w:rPr>
              <w:t>Standard fee</w:t>
            </w:r>
            <w:r>
              <w:rPr>
                <w:rFonts w:cstheme="minorHAnsi"/>
                <w:b/>
              </w:rPr>
              <w:t xml:space="preserve"> (SB1 or SA1)</w:t>
            </w:r>
            <w:r w:rsidRPr="00B313F4">
              <w:rPr>
                <w:rFonts w:cstheme="minorHAnsi"/>
                <w:b/>
              </w:rPr>
              <w:t xml:space="preserve">  plus £236 per </w:t>
            </w:r>
            <w:r>
              <w:rPr>
                <w:rFonts w:cstheme="minorHAnsi"/>
                <w:b/>
              </w:rPr>
              <w:t xml:space="preserve"> additional </w:t>
            </w:r>
            <w:r w:rsidRPr="00B313F4">
              <w:rPr>
                <w:rFonts w:cstheme="minorHAnsi"/>
                <w:b/>
              </w:rPr>
              <w:t>unit</w:t>
            </w:r>
          </w:p>
        </w:tc>
      </w:tr>
      <w:tr w:rsidR="00F53E9B" w14:paraId="450D22A1" w14:textId="77777777" w:rsidTr="00F53E9B">
        <w:tc>
          <w:tcPr>
            <w:tcW w:w="1626" w:type="dxa"/>
          </w:tcPr>
          <w:p w14:paraId="107D8927" w14:textId="77777777" w:rsidR="00F53E9B" w:rsidRDefault="00F53E9B" w:rsidP="00815325">
            <w:pPr>
              <w:rPr>
                <w:rFonts w:cstheme="minorHAnsi"/>
                <w:b/>
              </w:rPr>
            </w:pPr>
            <w:r>
              <w:rPr>
                <w:rFonts w:cstheme="minorHAnsi"/>
                <w:b/>
              </w:rPr>
              <w:t xml:space="preserve">Home Choice </w:t>
            </w:r>
          </w:p>
        </w:tc>
        <w:tc>
          <w:tcPr>
            <w:tcW w:w="6562" w:type="dxa"/>
          </w:tcPr>
          <w:p w14:paraId="3B034FD2" w14:textId="2FFAE832" w:rsidR="00F53E9B" w:rsidRPr="00AB771E" w:rsidRDefault="00F53E9B" w:rsidP="00FD1ABF">
            <w:pPr>
              <w:ind w:left="34"/>
              <w:rPr>
                <w:rFonts w:cstheme="minorHAnsi"/>
              </w:rPr>
            </w:pPr>
            <w:r>
              <w:rPr>
                <w:rFonts w:cstheme="minorHAnsi"/>
              </w:rPr>
              <w:t>P</w:t>
            </w:r>
            <w:r w:rsidRPr="00A2545F">
              <w:rPr>
                <w:rFonts w:cstheme="minorHAnsi"/>
              </w:rPr>
              <w:t>roperties used by the City Council as part of the work to prevent homelessness</w:t>
            </w:r>
            <w:r>
              <w:rPr>
                <w:rFonts w:cstheme="minorHAnsi"/>
              </w:rPr>
              <w:t xml:space="preserve">; </w:t>
            </w:r>
            <w:r w:rsidRPr="004427BF">
              <w:rPr>
                <w:rFonts w:cstheme="minorHAnsi"/>
              </w:rPr>
              <w:t>to incentivise landlords to provide private rented properties this would apply only for applications</w:t>
            </w:r>
            <w:r>
              <w:rPr>
                <w:rFonts w:cstheme="minorHAnsi"/>
              </w:rPr>
              <w:t xml:space="preserve"> where the standard fee applies, </w:t>
            </w:r>
            <w:r w:rsidR="00AA200F">
              <w:rPr>
                <w:rFonts w:cstheme="minorHAnsi"/>
              </w:rPr>
              <w:t>i.e.</w:t>
            </w:r>
            <w:r w:rsidRPr="004427BF">
              <w:rPr>
                <w:rFonts w:cstheme="minorHAnsi"/>
              </w:rPr>
              <w:t xml:space="preserve"> where there is a change of Licence Holder who makes the property available to the Home Choice scheme or where a newly acquired property is made available to be used as part of the scheme and the application made within 3 months of purchase</w:t>
            </w:r>
            <w:r w:rsidR="00FD1ABF">
              <w:rPr>
                <w:rFonts w:cstheme="minorHAnsi"/>
              </w:rPr>
              <w:t xml:space="preserve">. The details and amount of discount available is to be determined </w:t>
            </w:r>
          </w:p>
        </w:tc>
        <w:tc>
          <w:tcPr>
            <w:tcW w:w="1276" w:type="dxa"/>
          </w:tcPr>
          <w:p w14:paraId="0919FD0A" w14:textId="5B6C135E" w:rsidR="00F53E9B" w:rsidRPr="00B313F4" w:rsidRDefault="00F53E9B" w:rsidP="00815325">
            <w:pPr>
              <w:rPr>
                <w:rFonts w:cstheme="minorHAnsi"/>
                <w:b/>
              </w:rPr>
            </w:pPr>
            <w:r>
              <w:rPr>
                <w:rFonts w:cstheme="minorHAnsi"/>
                <w:b/>
              </w:rPr>
              <w:t xml:space="preserve">discount on standard </w:t>
            </w:r>
            <w:r w:rsidRPr="00B313F4">
              <w:rPr>
                <w:rFonts w:cstheme="minorHAnsi"/>
                <w:b/>
              </w:rPr>
              <w:t xml:space="preserve">fee </w:t>
            </w:r>
          </w:p>
        </w:tc>
      </w:tr>
    </w:tbl>
    <w:p w14:paraId="23F64498" w14:textId="77777777" w:rsidR="00F53E9B" w:rsidRDefault="00F53E9B" w:rsidP="00EE25D9">
      <w:pPr>
        <w:rPr>
          <w:rFonts w:ascii="Arial" w:hAnsi="Arial" w:cs="Arial"/>
          <w:b/>
          <w:sz w:val="28"/>
          <w:szCs w:val="28"/>
        </w:rPr>
      </w:pPr>
    </w:p>
    <w:p w14:paraId="39B24759" w14:textId="77777777" w:rsidR="00F53E9B" w:rsidRDefault="00F53E9B" w:rsidP="00EE25D9">
      <w:pPr>
        <w:rPr>
          <w:rFonts w:ascii="Arial" w:hAnsi="Arial" w:cs="Arial"/>
          <w:b/>
          <w:sz w:val="28"/>
          <w:szCs w:val="28"/>
        </w:rPr>
      </w:pPr>
    </w:p>
    <w:p w14:paraId="0767E9CB" w14:textId="77777777" w:rsidR="00EE25D9" w:rsidRPr="00EE25D9" w:rsidRDefault="00EE25D9" w:rsidP="00EE25D9">
      <w:pPr>
        <w:rPr>
          <w:rFonts w:ascii="Arial" w:hAnsi="Arial" w:cs="Arial"/>
          <w:b/>
          <w:sz w:val="28"/>
          <w:szCs w:val="28"/>
        </w:rPr>
      </w:pPr>
      <w:r w:rsidRPr="00EE25D9">
        <w:rPr>
          <w:rFonts w:ascii="Arial" w:hAnsi="Arial" w:cs="Arial"/>
          <w:b/>
          <w:sz w:val="28"/>
          <w:szCs w:val="28"/>
        </w:rPr>
        <w:t xml:space="preserve">Length of licence </w:t>
      </w:r>
      <w:r w:rsidR="002343BA">
        <w:rPr>
          <w:rFonts w:ascii="Arial" w:hAnsi="Arial" w:cs="Arial"/>
          <w:b/>
          <w:sz w:val="28"/>
          <w:szCs w:val="28"/>
        </w:rPr>
        <w:t>and Renewal Fees</w:t>
      </w:r>
    </w:p>
    <w:p w14:paraId="3880B6A9" w14:textId="77777777" w:rsidR="00EE25D9" w:rsidRPr="00655608" w:rsidRDefault="00EE25D9" w:rsidP="00EE25D9">
      <w:pPr>
        <w:rPr>
          <w:rFonts w:ascii="Arial" w:hAnsi="Arial" w:cs="Arial"/>
        </w:rPr>
      </w:pPr>
      <w:r w:rsidRPr="00655608">
        <w:rPr>
          <w:rFonts w:ascii="Arial" w:hAnsi="Arial" w:cs="Arial"/>
        </w:rPr>
        <w:t>The majority of licences will be issued for five years. However, there are some circumstances where a licence will be issued for one year. These include the following factors:</w:t>
      </w:r>
    </w:p>
    <w:p w14:paraId="3CEC47CA" w14:textId="77777777" w:rsidR="00EE25D9" w:rsidRPr="00655608" w:rsidRDefault="00EE25D9" w:rsidP="00EE25D9">
      <w:pPr>
        <w:pStyle w:val="ListParagraph"/>
        <w:numPr>
          <w:ilvl w:val="0"/>
          <w:numId w:val="2"/>
        </w:numPr>
        <w:rPr>
          <w:rFonts w:ascii="Arial" w:hAnsi="Arial" w:cs="Arial"/>
        </w:rPr>
      </w:pPr>
      <w:r w:rsidRPr="00655608">
        <w:rPr>
          <w:rFonts w:ascii="Arial" w:hAnsi="Arial" w:cs="Arial"/>
        </w:rPr>
        <w:t>Documentation was not submitted;</w:t>
      </w:r>
    </w:p>
    <w:p w14:paraId="4F8AD46B" w14:textId="77777777" w:rsidR="00EE25D9" w:rsidRPr="00655608" w:rsidRDefault="00EE25D9" w:rsidP="00EE25D9">
      <w:pPr>
        <w:pStyle w:val="ListParagraph"/>
        <w:numPr>
          <w:ilvl w:val="0"/>
          <w:numId w:val="2"/>
        </w:numPr>
        <w:rPr>
          <w:rFonts w:ascii="Arial" w:hAnsi="Arial" w:cs="Arial"/>
        </w:rPr>
      </w:pPr>
      <w:r w:rsidRPr="00655608">
        <w:rPr>
          <w:rFonts w:ascii="Arial" w:hAnsi="Arial" w:cs="Arial"/>
        </w:rPr>
        <w:t>Multiple justified service requests made within last three years;</w:t>
      </w:r>
    </w:p>
    <w:p w14:paraId="1C03E404" w14:textId="77777777" w:rsidR="00EE25D9" w:rsidRPr="00655608" w:rsidRDefault="00EE25D9" w:rsidP="00EE25D9">
      <w:pPr>
        <w:pStyle w:val="ListParagraph"/>
        <w:numPr>
          <w:ilvl w:val="0"/>
          <w:numId w:val="2"/>
        </w:numPr>
        <w:rPr>
          <w:rFonts w:ascii="Arial" w:hAnsi="Arial" w:cs="Arial"/>
        </w:rPr>
      </w:pPr>
      <w:r w:rsidRPr="00655608">
        <w:rPr>
          <w:rFonts w:ascii="Arial" w:hAnsi="Arial" w:cs="Arial"/>
        </w:rPr>
        <w:t>Concerns about fit and proper person status;</w:t>
      </w:r>
    </w:p>
    <w:p w14:paraId="5C4F2A71" w14:textId="77777777" w:rsidR="00EE25D9" w:rsidRPr="00655608" w:rsidRDefault="00EE25D9" w:rsidP="00EE25D9">
      <w:pPr>
        <w:pStyle w:val="ListParagraph"/>
        <w:numPr>
          <w:ilvl w:val="0"/>
          <w:numId w:val="2"/>
        </w:numPr>
        <w:rPr>
          <w:rFonts w:ascii="Arial" w:hAnsi="Arial" w:cs="Arial"/>
        </w:rPr>
      </w:pPr>
      <w:r w:rsidRPr="00655608">
        <w:rPr>
          <w:rFonts w:ascii="Arial" w:hAnsi="Arial" w:cs="Arial"/>
        </w:rPr>
        <w:t>Concerns about satisfactory management arrangements;</w:t>
      </w:r>
    </w:p>
    <w:p w14:paraId="641C2BB5" w14:textId="77777777" w:rsidR="00DC11F3" w:rsidRPr="00655608" w:rsidRDefault="00EE25D9" w:rsidP="00EE25D9">
      <w:pPr>
        <w:pStyle w:val="ListParagraph"/>
        <w:numPr>
          <w:ilvl w:val="0"/>
          <w:numId w:val="2"/>
        </w:numPr>
        <w:rPr>
          <w:rFonts w:ascii="Arial" w:hAnsi="Arial" w:cs="Arial"/>
        </w:rPr>
      </w:pPr>
      <w:r w:rsidRPr="00655608">
        <w:rPr>
          <w:rFonts w:ascii="Arial" w:hAnsi="Arial" w:cs="Arial"/>
        </w:rPr>
        <w:t>Evidence property is not compliant with planning use;</w:t>
      </w:r>
    </w:p>
    <w:p w14:paraId="27C5A5DB" w14:textId="77777777" w:rsidR="00204C26" w:rsidRPr="00655608" w:rsidRDefault="0060678D" w:rsidP="00204C26">
      <w:pPr>
        <w:spacing w:after="0"/>
        <w:rPr>
          <w:rFonts w:ascii="Arial" w:hAnsi="Arial" w:cs="Arial"/>
        </w:rPr>
      </w:pPr>
      <w:r w:rsidRPr="00655608">
        <w:rPr>
          <w:rFonts w:ascii="Arial" w:hAnsi="Arial" w:cs="Arial"/>
        </w:rPr>
        <w:t xml:space="preserve">Where a one year licence is issued, the council will inspect within 12 months of the licence date to ensure the property is compliant. </w:t>
      </w:r>
      <w:r w:rsidR="002343BA" w:rsidRPr="00655608">
        <w:rPr>
          <w:rFonts w:ascii="Arial" w:hAnsi="Arial" w:cs="Arial"/>
        </w:rPr>
        <w:t>O</w:t>
      </w:r>
      <w:r w:rsidRPr="00655608">
        <w:rPr>
          <w:rFonts w:ascii="Arial" w:hAnsi="Arial" w:cs="Arial"/>
        </w:rPr>
        <w:t>n renewal, a decision will be made whether to:</w:t>
      </w:r>
    </w:p>
    <w:p w14:paraId="647899FF" w14:textId="77777777" w:rsidR="0060678D" w:rsidRPr="00655608" w:rsidRDefault="001D056B" w:rsidP="00204C26">
      <w:pPr>
        <w:pStyle w:val="ListParagraph"/>
        <w:numPr>
          <w:ilvl w:val="0"/>
          <w:numId w:val="16"/>
        </w:numPr>
        <w:spacing w:after="0"/>
        <w:rPr>
          <w:rFonts w:ascii="Arial" w:hAnsi="Arial" w:cs="Arial"/>
        </w:rPr>
      </w:pPr>
      <w:r w:rsidRPr="00655608">
        <w:rPr>
          <w:rFonts w:ascii="Arial" w:hAnsi="Arial" w:cs="Arial"/>
        </w:rPr>
        <w:t xml:space="preserve">Issue a 5 year licence </w:t>
      </w:r>
    </w:p>
    <w:p w14:paraId="01B8CADE" w14:textId="77777777" w:rsidR="0060678D" w:rsidRDefault="0060678D" w:rsidP="0060678D">
      <w:pPr>
        <w:pStyle w:val="ListParagraph"/>
        <w:numPr>
          <w:ilvl w:val="0"/>
          <w:numId w:val="3"/>
        </w:numPr>
        <w:rPr>
          <w:rFonts w:ascii="Arial" w:hAnsi="Arial" w:cs="Arial"/>
          <w:sz w:val="24"/>
          <w:szCs w:val="24"/>
        </w:rPr>
      </w:pPr>
      <w:r w:rsidRPr="00655608">
        <w:rPr>
          <w:rFonts w:ascii="Arial" w:hAnsi="Arial" w:cs="Arial"/>
        </w:rPr>
        <w:t>I</w:t>
      </w:r>
      <w:r w:rsidR="00C67615" w:rsidRPr="00655608">
        <w:rPr>
          <w:rFonts w:ascii="Arial" w:hAnsi="Arial" w:cs="Arial"/>
        </w:rPr>
        <w:t xml:space="preserve">ssue </w:t>
      </w:r>
      <w:r w:rsidRPr="00655608">
        <w:rPr>
          <w:rFonts w:ascii="Arial" w:hAnsi="Arial" w:cs="Arial"/>
        </w:rPr>
        <w:t>for one year</w:t>
      </w:r>
      <w:r>
        <w:rPr>
          <w:rFonts w:ascii="Arial" w:hAnsi="Arial" w:cs="Arial"/>
          <w:sz w:val="24"/>
          <w:szCs w:val="24"/>
        </w:rPr>
        <w:t>.</w:t>
      </w:r>
    </w:p>
    <w:p w14:paraId="294B6A76" w14:textId="77777777" w:rsidR="00D972D1" w:rsidRPr="002C6178" w:rsidRDefault="00D972D1" w:rsidP="00C67615">
      <w:pPr>
        <w:rPr>
          <w:rFonts w:ascii="Arial" w:hAnsi="Arial" w:cs="Arial"/>
          <w:sz w:val="24"/>
          <w:szCs w:val="24"/>
        </w:rPr>
      </w:pPr>
    </w:p>
    <w:tbl>
      <w:tblPr>
        <w:tblW w:w="9067" w:type="dxa"/>
        <w:tblLook w:val="04A0" w:firstRow="1" w:lastRow="0" w:firstColumn="1" w:lastColumn="0" w:noHBand="0" w:noVBand="1"/>
      </w:tblPr>
      <w:tblGrid>
        <w:gridCol w:w="1555"/>
        <w:gridCol w:w="3685"/>
        <w:gridCol w:w="1843"/>
        <w:gridCol w:w="1984"/>
      </w:tblGrid>
      <w:tr w:rsidR="001D056B" w:rsidRPr="001D056B" w14:paraId="295E332B" w14:textId="77777777" w:rsidTr="00236025">
        <w:trPr>
          <w:trHeight w:val="463"/>
        </w:trPr>
        <w:tc>
          <w:tcPr>
            <w:tcW w:w="9067"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D3FF31B" w14:textId="77777777" w:rsidR="001D056B" w:rsidRPr="001D056B" w:rsidRDefault="001D056B" w:rsidP="002343BA">
            <w:pPr>
              <w:spacing w:after="0" w:line="240" w:lineRule="auto"/>
              <w:rPr>
                <w:rFonts w:ascii="Arial" w:hAnsi="Arial" w:cs="Arial"/>
                <w:b/>
                <w:sz w:val="24"/>
                <w:szCs w:val="24"/>
              </w:rPr>
            </w:pPr>
            <w:r w:rsidRPr="001D056B">
              <w:rPr>
                <w:rFonts w:ascii="Arial" w:hAnsi="Arial" w:cs="Arial"/>
                <w:b/>
                <w:sz w:val="24"/>
                <w:szCs w:val="24"/>
              </w:rPr>
              <w:t xml:space="preserve">Table </w:t>
            </w:r>
            <w:r w:rsidR="002343BA">
              <w:rPr>
                <w:rFonts w:ascii="Arial" w:hAnsi="Arial" w:cs="Arial"/>
                <w:b/>
                <w:sz w:val="24"/>
                <w:szCs w:val="24"/>
              </w:rPr>
              <w:t>3</w:t>
            </w:r>
            <w:r w:rsidRPr="001D056B">
              <w:rPr>
                <w:rFonts w:ascii="Arial" w:hAnsi="Arial" w:cs="Arial"/>
                <w:b/>
                <w:sz w:val="24"/>
                <w:szCs w:val="24"/>
              </w:rPr>
              <w:t xml:space="preserve"> </w:t>
            </w:r>
            <w:r w:rsidR="00EE25D9">
              <w:rPr>
                <w:rFonts w:ascii="Arial" w:hAnsi="Arial" w:cs="Arial"/>
                <w:b/>
                <w:sz w:val="24"/>
                <w:szCs w:val="24"/>
              </w:rPr>
              <w:t xml:space="preserve">Renewal Fees </w:t>
            </w:r>
            <w:r>
              <w:rPr>
                <w:rFonts w:ascii="Arial" w:hAnsi="Arial" w:cs="Arial"/>
                <w:b/>
                <w:sz w:val="24"/>
                <w:szCs w:val="24"/>
              </w:rPr>
              <w:t xml:space="preserve"> </w:t>
            </w:r>
          </w:p>
        </w:tc>
      </w:tr>
      <w:tr w:rsidR="002C6178" w:rsidRPr="002C6178" w14:paraId="6BE9EFB1" w14:textId="77777777" w:rsidTr="00236025">
        <w:trPr>
          <w:trHeight w:val="580"/>
        </w:trPr>
        <w:tc>
          <w:tcPr>
            <w:tcW w:w="1555" w:type="dxa"/>
            <w:tcBorders>
              <w:top w:val="single" w:sz="4" w:space="0" w:color="auto"/>
              <w:left w:val="single" w:sz="4" w:space="0" w:color="auto"/>
              <w:bottom w:val="single" w:sz="4" w:space="0" w:color="auto"/>
              <w:right w:val="single" w:sz="4" w:space="0" w:color="auto"/>
            </w:tcBorders>
            <w:shd w:val="clear" w:color="auto" w:fill="auto"/>
          </w:tcPr>
          <w:p w14:paraId="1DDDC2BA" w14:textId="77777777" w:rsidR="001D056B" w:rsidRPr="002C6178" w:rsidRDefault="001D056B" w:rsidP="00C504CD">
            <w:pPr>
              <w:spacing w:after="0" w:line="240" w:lineRule="auto"/>
              <w:rPr>
                <w:rFonts w:ascii="Arial" w:eastAsia="Times New Roman" w:hAnsi="Arial" w:cs="Arial"/>
                <w:color w:val="000000"/>
                <w:lang w:eastAsia="en-GB"/>
              </w:rPr>
            </w:pPr>
            <w:r w:rsidRPr="002C6178">
              <w:rPr>
                <w:rFonts w:ascii="Arial" w:hAnsi="Arial" w:cs="Arial"/>
                <w:sz w:val="24"/>
                <w:szCs w:val="24"/>
              </w:rPr>
              <w:t>Category</w:t>
            </w:r>
          </w:p>
        </w:tc>
        <w:tc>
          <w:tcPr>
            <w:tcW w:w="3685" w:type="dxa"/>
            <w:tcBorders>
              <w:top w:val="single" w:sz="4" w:space="0" w:color="auto"/>
              <w:left w:val="nil"/>
              <w:bottom w:val="single" w:sz="4" w:space="0" w:color="auto"/>
              <w:right w:val="single" w:sz="4" w:space="0" w:color="auto"/>
            </w:tcBorders>
            <w:shd w:val="clear" w:color="auto" w:fill="auto"/>
          </w:tcPr>
          <w:p w14:paraId="5F8425B2" w14:textId="77777777" w:rsidR="001D056B" w:rsidRPr="002C6178" w:rsidRDefault="001D056B" w:rsidP="00C504CD">
            <w:pPr>
              <w:spacing w:after="0" w:line="240" w:lineRule="auto"/>
              <w:rPr>
                <w:rFonts w:ascii="Arial" w:eastAsia="Times New Roman" w:hAnsi="Arial" w:cs="Arial"/>
                <w:color w:val="000000"/>
                <w:lang w:eastAsia="en-GB"/>
              </w:rPr>
            </w:pPr>
            <w:r w:rsidRPr="002C6178">
              <w:rPr>
                <w:rFonts w:ascii="Arial" w:hAnsi="Arial" w:cs="Arial"/>
                <w:sz w:val="24"/>
                <w:szCs w:val="24"/>
              </w:rPr>
              <w:t>Description</w:t>
            </w:r>
          </w:p>
        </w:tc>
        <w:tc>
          <w:tcPr>
            <w:tcW w:w="1843" w:type="dxa"/>
            <w:tcBorders>
              <w:top w:val="single" w:sz="4" w:space="0" w:color="auto"/>
              <w:left w:val="nil"/>
              <w:bottom w:val="single" w:sz="4" w:space="0" w:color="auto"/>
              <w:right w:val="single" w:sz="4" w:space="0" w:color="auto"/>
            </w:tcBorders>
            <w:shd w:val="clear" w:color="auto" w:fill="auto"/>
          </w:tcPr>
          <w:p w14:paraId="6BA70C7B" w14:textId="77777777" w:rsidR="001D056B" w:rsidRPr="002C6178" w:rsidRDefault="001D056B" w:rsidP="00C504CD">
            <w:pPr>
              <w:spacing w:after="0" w:line="240" w:lineRule="auto"/>
              <w:rPr>
                <w:rFonts w:ascii="Arial" w:eastAsia="Times New Roman" w:hAnsi="Arial" w:cs="Arial"/>
                <w:color w:val="000000"/>
                <w:lang w:eastAsia="en-GB"/>
              </w:rPr>
            </w:pPr>
            <w:r w:rsidRPr="002C6178">
              <w:rPr>
                <w:rFonts w:ascii="Arial" w:eastAsia="Times New Roman" w:hAnsi="Arial" w:cs="Arial"/>
                <w:color w:val="000000"/>
                <w:lang w:eastAsia="en-GB"/>
              </w:rPr>
              <w:t>Licence length</w:t>
            </w:r>
          </w:p>
        </w:tc>
        <w:tc>
          <w:tcPr>
            <w:tcW w:w="1984" w:type="dxa"/>
            <w:tcBorders>
              <w:top w:val="single" w:sz="4" w:space="0" w:color="auto"/>
              <w:left w:val="nil"/>
              <w:bottom w:val="single" w:sz="4" w:space="0" w:color="auto"/>
              <w:right w:val="single" w:sz="4" w:space="0" w:color="auto"/>
            </w:tcBorders>
          </w:tcPr>
          <w:p w14:paraId="0296BD54" w14:textId="77777777" w:rsidR="001D056B" w:rsidRPr="002C6178" w:rsidRDefault="001D056B" w:rsidP="00C504CD">
            <w:pPr>
              <w:spacing w:after="0" w:line="240" w:lineRule="auto"/>
              <w:rPr>
                <w:rFonts w:ascii="Arial" w:eastAsia="Times New Roman" w:hAnsi="Arial" w:cs="Arial"/>
                <w:color w:val="000000"/>
                <w:lang w:eastAsia="en-GB"/>
              </w:rPr>
            </w:pPr>
            <w:r w:rsidRPr="002C6178">
              <w:rPr>
                <w:rFonts w:ascii="Arial" w:hAnsi="Arial" w:cs="Arial"/>
                <w:sz w:val="24"/>
                <w:szCs w:val="24"/>
              </w:rPr>
              <w:t>Total Fee</w:t>
            </w:r>
          </w:p>
        </w:tc>
      </w:tr>
      <w:tr w:rsidR="002C6178" w:rsidRPr="00DC11F3" w14:paraId="430239E8" w14:textId="77777777" w:rsidTr="00236025">
        <w:trPr>
          <w:trHeight w:val="870"/>
        </w:trPr>
        <w:tc>
          <w:tcPr>
            <w:tcW w:w="1555" w:type="dxa"/>
            <w:tcBorders>
              <w:top w:val="single" w:sz="4" w:space="0" w:color="auto"/>
              <w:left w:val="single" w:sz="4" w:space="0" w:color="auto"/>
              <w:bottom w:val="single" w:sz="4" w:space="0" w:color="auto"/>
              <w:right w:val="single" w:sz="4" w:space="0" w:color="auto"/>
            </w:tcBorders>
            <w:shd w:val="clear" w:color="auto" w:fill="auto"/>
          </w:tcPr>
          <w:p w14:paraId="089D51A4" w14:textId="77777777" w:rsidR="002C6178" w:rsidRDefault="002C6178" w:rsidP="005955C0">
            <w:pPr>
              <w:spacing w:after="0" w:line="240" w:lineRule="auto"/>
              <w:rPr>
                <w:rFonts w:ascii="Calibri" w:eastAsia="Times New Roman" w:hAnsi="Calibri" w:cs="Calibri"/>
                <w:color w:val="000000"/>
                <w:lang w:eastAsia="en-GB"/>
              </w:rPr>
            </w:pPr>
            <w:r w:rsidRPr="001D056B">
              <w:rPr>
                <w:rFonts w:ascii="Calibri" w:eastAsia="Times New Roman" w:hAnsi="Calibri" w:cs="Calibri"/>
                <w:color w:val="000000"/>
                <w:lang w:eastAsia="en-GB"/>
              </w:rPr>
              <w:t xml:space="preserve">C </w:t>
            </w:r>
            <w:r w:rsidR="002343BA">
              <w:rPr>
                <w:rFonts w:ascii="Calibri" w:eastAsia="Times New Roman" w:hAnsi="Calibri" w:cs="Calibri"/>
                <w:color w:val="000000"/>
                <w:lang w:eastAsia="en-GB"/>
              </w:rPr>
              <w:t>–</w:t>
            </w:r>
            <w:r w:rsidR="002343BA" w:rsidRPr="001D056B">
              <w:rPr>
                <w:rFonts w:ascii="Calibri" w:eastAsia="Times New Roman" w:hAnsi="Calibri" w:cs="Calibri"/>
                <w:color w:val="000000"/>
                <w:lang w:eastAsia="en-GB"/>
              </w:rPr>
              <w:t xml:space="preserve"> </w:t>
            </w:r>
            <w:r w:rsidR="002343BA">
              <w:rPr>
                <w:rFonts w:ascii="Calibri" w:eastAsia="Times New Roman" w:hAnsi="Calibri" w:cs="Calibri"/>
                <w:color w:val="000000"/>
                <w:lang w:eastAsia="en-GB"/>
              </w:rPr>
              <w:t>only applicable from yr 2 onwards</w:t>
            </w:r>
          </w:p>
        </w:tc>
        <w:tc>
          <w:tcPr>
            <w:tcW w:w="3685" w:type="dxa"/>
            <w:tcBorders>
              <w:top w:val="single" w:sz="4" w:space="0" w:color="auto"/>
              <w:left w:val="nil"/>
              <w:bottom w:val="single" w:sz="4" w:space="0" w:color="auto"/>
              <w:right w:val="single" w:sz="4" w:space="0" w:color="auto"/>
            </w:tcBorders>
            <w:shd w:val="clear" w:color="auto" w:fill="auto"/>
          </w:tcPr>
          <w:p w14:paraId="1651C032" w14:textId="77777777" w:rsidR="002C6178" w:rsidRDefault="002C6178" w:rsidP="002C6178">
            <w:pPr>
              <w:rPr>
                <w:rFonts w:ascii="Calibri" w:eastAsia="Times New Roman" w:hAnsi="Calibri" w:cs="Calibri"/>
                <w:color w:val="000000"/>
                <w:lang w:eastAsia="en-GB"/>
              </w:rPr>
            </w:pPr>
            <w:r>
              <w:rPr>
                <w:rFonts w:ascii="Calibri" w:eastAsia="Times New Roman" w:hAnsi="Calibri" w:cs="Calibri"/>
                <w:color w:val="000000"/>
                <w:lang w:eastAsia="en-GB"/>
              </w:rPr>
              <w:t>Renewal application</w:t>
            </w:r>
            <w:r w:rsidR="002343BA">
              <w:rPr>
                <w:rFonts w:ascii="Calibri" w:eastAsia="Times New Roman" w:hAnsi="Calibri" w:cs="Calibri"/>
                <w:color w:val="000000"/>
                <w:lang w:eastAsia="en-GB"/>
              </w:rPr>
              <w:t xml:space="preserve"> </w:t>
            </w:r>
          </w:p>
          <w:p w14:paraId="5946F9CE" w14:textId="77777777" w:rsidR="002C6178" w:rsidRPr="00DC11F3" w:rsidRDefault="002C6178" w:rsidP="002C6178">
            <w:pPr>
              <w:spacing w:after="0" w:line="240" w:lineRule="auto"/>
              <w:rPr>
                <w:rFonts w:ascii="Calibri" w:eastAsia="Times New Roman" w:hAnsi="Calibri" w:cs="Calibri"/>
                <w:color w:val="000000"/>
                <w:lang w:eastAsia="en-GB"/>
              </w:rPr>
            </w:pPr>
          </w:p>
        </w:tc>
        <w:tc>
          <w:tcPr>
            <w:tcW w:w="1843" w:type="dxa"/>
            <w:tcBorders>
              <w:top w:val="single" w:sz="4" w:space="0" w:color="auto"/>
              <w:left w:val="nil"/>
              <w:bottom w:val="single" w:sz="4" w:space="0" w:color="auto"/>
              <w:right w:val="single" w:sz="4" w:space="0" w:color="auto"/>
            </w:tcBorders>
            <w:shd w:val="clear" w:color="auto" w:fill="auto"/>
          </w:tcPr>
          <w:p w14:paraId="12EA4428" w14:textId="77777777" w:rsidR="002C6178" w:rsidRPr="00DC11F3" w:rsidRDefault="002C6178" w:rsidP="002C6178">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Five</w:t>
            </w:r>
          </w:p>
        </w:tc>
        <w:tc>
          <w:tcPr>
            <w:tcW w:w="1984" w:type="dxa"/>
            <w:tcBorders>
              <w:top w:val="single" w:sz="4" w:space="0" w:color="auto"/>
              <w:left w:val="nil"/>
              <w:bottom w:val="single" w:sz="4" w:space="0" w:color="auto"/>
              <w:right w:val="single" w:sz="4" w:space="0" w:color="auto"/>
            </w:tcBorders>
          </w:tcPr>
          <w:p w14:paraId="404570B9" w14:textId="77777777" w:rsidR="002C6178" w:rsidRDefault="00D972D1" w:rsidP="002C6178">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w:t>
            </w:r>
            <w:r w:rsidR="002C6178">
              <w:rPr>
                <w:rFonts w:ascii="Calibri" w:eastAsia="Times New Roman" w:hAnsi="Calibri" w:cs="Calibri"/>
                <w:color w:val="000000"/>
                <w:lang w:eastAsia="en-GB"/>
              </w:rPr>
              <w:t>131</w:t>
            </w:r>
          </w:p>
        </w:tc>
      </w:tr>
      <w:tr w:rsidR="002C6178" w:rsidRPr="00DC11F3" w14:paraId="2D1CF488" w14:textId="77777777" w:rsidTr="00236025">
        <w:trPr>
          <w:trHeight w:val="870"/>
        </w:trPr>
        <w:tc>
          <w:tcPr>
            <w:tcW w:w="1555" w:type="dxa"/>
            <w:tcBorders>
              <w:top w:val="single" w:sz="4" w:space="0" w:color="auto"/>
              <w:left w:val="single" w:sz="4" w:space="0" w:color="auto"/>
              <w:bottom w:val="single" w:sz="4" w:space="0" w:color="auto"/>
              <w:right w:val="single" w:sz="4" w:space="0" w:color="auto"/>
            </w:tcBorders>
            <w:shd w:val="clear" w:color="auto" w:fill="auto"/>
          </w:tcPr>
          <w:p w14:paraId="477444CF" w14:textId="77777777" w:rsidR="002C6178" w:rsidRPr="001D056B" w:rsidRDefault="002C6178" w:rsidP="002C6178">
            <w:pPr>
              <w:spacing w:after="0" w:line="240" w:lineRule="auto"/>
              <w:rPr>
                <w:rFonts w:ascii="Calibri" w:eastAsia="Times New Roman" w:hAnsi="Calibri" w:cs="Calibri"/>
                <w:color w:val="000000"/>
                <w:lang w:eastAsia="en-GB"/>
              </w:rPr>
            </w:pPr>
            <w:r w:rsidRPr="001D056B">
              <w:rPr>
                <w:rFonts w:ascii="Calibri" w:eastAsia="Times New Roman" w:hAnsi="Calibri" w:cs="Calibri"/>
                <w:color w:val="000000"/>
                <w:lang w:eastAsia="en-GB"/>
              </w:rPr>
              <w:t xml:space="preserve">D </w:t>
            </w:r>
            <w:r>
              <w:rPr>
                <w:rFonts w:ascii="Calibri" w:eastAsia="Times New Roman" w:hAnsi="Calibri" w:cs="Calibri"/>
                <w:color w:val="000000"/>
                <w:lang w:eastAsia="en-GB"/>
              </w:rPr>
              <w:t>–</w:t>
            </w:r>
            <w:r w:rsidRPr="001D056B">
              <w:rPr>
                <w:rFonts w:ascii="Calibri" w:eastAsia="Times New Roman" w:hAnsi="Calibri" w:cs="Calibri"/>
                <w:color w:val="000000"/>
                <w:lang w:eastAsia="en-GB"/>
              </w:rPr>
              <w:t xml:space="preserve"> </w:t>
            </w:r>
            <w:r>
              <w:rPr>
                <w:rFonts w:ascii="Calibri" w:eastAsia="Times New Roman" w:hAnsi="Calibri" w:cs="Calibri"/>
                <w:color w:val="000000"/>
                <w:lang w:eastAsia="en-GB"/>
              </w:rPr>
              <w:t>only applicable from yr 2 onwards</w:t>
            </w:r>
          </w:p>
        </w:tc>
        <w:tc>
          <w:tcPr>
            <w:tcW w:w="3685" w:type="dxa"/>
            <w:tcBorders>
              <w:top w:val="single" w:sz="4" w:space="0" w:color="auto"/>
              <w:left w:val="nil"/>
              <w:bottom w:val="single" w:sz="4" w:space="0" w:color="auto"/>
              <w:right w:val="single" w:sz="4" w:space="0" w:color="auto"/>
            </w:tcBorders>
            <w:shd w:val="clear" w:color="auto" w:fill="auto"/>
          </w:tcPr>
          <w:p w14:paraId="528096A2" w14:textId="77777777" w:rsidR="002C6178" w:rsidRDefault="005955C0" w:rsidP="002C6178">
            <w:pPr>
              <w:rPr>
                <w:rFonts w:ascii="Calibri" w:eastAsia="Times New Roman" w:hAnsi="Calibri" w:cs="Calibri"/>
                <w:color w:val="000000"/>
                <w:lang w:eastAsia="en-GB"/>
              </w:rPr>
            </w:pPr>
            <w:r>
              <w:rPr>
                <w:rFonts w:ascii="Calibri" w:eastAsia="Times New Roman" w:hAnsi="Calibri" w:cs="Calibri"/>
                <w:color w:val="000000"/>
                <w:lang w:eastAsia="en-GB"/>
              </w:rPr>
              <w:t xml:space="preserve">Higher renewal application </w:t>
            </w:r>
          </w:p>
        </w:tc>
        <w:tc>
          <w:tcPr>
            <w:tcW w:w="1843" w:type="dxa"/>
            <w:tcBorders>
              <w:top w:val="single" w:sz="4" w:space="0" w:color="auto"/>
              <w:left w:val="nil"/>
              <w:bottom w:val="single" w:sz="4" w:space="0" w:color="auto"/>
              <w:right w:val="single" w:sz="4" w:space="0" w:color="auto"/>
            </w:tcBorders>
            <w:shd w:val="clear" w:color="auto" w:fill="auto"/>
          </w:tcPr>
          <w:p w14:paraId="2A1FB219" w14:textId="77777777" w:rsidR="002C6178" w:rsidRPr="00DC11F3" w:rsidRDefault="002C6178" w:rsidP="002C6178">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One</w:t>
            </w:r>
          </w:p>
        </w:tc>
        <w:tc>
          <w:tcPr>
            <w:tcW w:w="1984" w:type="dxa"/>
            <w:tcBorders>
              <w:top w:val="single" w:sz="4" w:space="0" w:color="auto"/>
              <w:left w:val="nil"/>
              <w:bottom w:val="single" w:sz="4" w:space="0" w:color="auto"/>
              <w:right w:val="single" w:sz="4" w:space="0" w:color="auto"/>
            </w:tcBorders>
          </w:tcPr>
          <w:p w14:paraId="1D003C7B" w14:textId="77777777" w:rsidR="002C6178" w:rsidRDefault="00D972D1" w:rsidP="002C6178">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w:t>
            </w:r>
            <w:r w:rsidR="002C6178">
              <w:rPr>
                <w:rFonts w:ascii="Calibri" w:eastAsia="Times New Roman" w:hAnsi="Calibri" w:cs="Calibri"/>
                <w:color w:val="000000"/>
                <w:lang w:eastAsia="en-GB"/>
              </w:rPr>
              <w:t>196</w:t>
            </w:r>
          </w:p>
        </w:tc>
      </w:tr>
    </w:tbl>
    <w:p w14:paraId="4ADDC193" w14:textId="77777777" w:rsidR="005B14DF" w:rsidRDefault="005B14DF" w:rsidP="002C6787">
      <w:pPr>
        <w:rPr>
          <w:rFonts w:ascii="Arial" w:hAnsi="Arial" w:cs="Arial"/>
          <w:b/>
          <w:sz w:val="28"/>
          <w:szCs w:val="28"/>
        </w:rPr>
      </w:pPr>
    </w:p>
    <w:p w14:paraId="3857F8C6" w14:textId="77777777" w:rsidR="005B14DF" w:rsidRDefault="005B14DF">
      <w:pPr>
        <w:rPr>
          <w:rFonts w:ascii="Arial" w:hAnsi="Arial" w:cs="Arial"/>
          <w:b/>
          <w:sz w:val="28"/>
          <w:szCs w:val="28"/>
        </w:rPr>
      </w:pPr>
    </w:p>
    <w:p w14:paraId="21EF8BA3" w14:textId="77777777" w:rsidR="009B2C11" w:rsidRDefault="009B2C11">
      <w:pPr>
        <w:rPr>
          <w:rFonts w:ascii="Arial" w:hAnsi="Arial" w:cs="Arial"/>
          <w:b/>
          <w:sz w:val="28"/>
          <w:szCs w:val="28"/>
        </w:rPr>
      </w:pPr>
      <w:r>
        <w:rPr>
          <w:rFonts w:ascii="Arial" w:hAnsi="Arial" w:cs="Arial"/>
          <w:b/>
          <w:sz w:val="28"/>
          <w:szCs w:val="28"/>
        </w:rPr>
        <w:br w:type="page"/>
      </w:r>
    </w:p>
    <w:p w14:paraId="7DCCBF88" w14:textId="77777777" w:rsidR="00C67615" w:rsidRDefault="00C67615" w:rsidP="002C6787">
      <w:pPr>
        <w:rPr>
          <w:rFonts w:ascii="Arial" w:hAnsi="Arial" w:cs="Arial"/>
          <w:b/>
          <w:sz w:val="28"/>
          <w:szCs w:val="28"/>
        </w:rPr>
      </w:pPr>
    </w:p>
    <w:tbl>
      <w:tblPr>
        <w:tblStyle w:val="TableGrid"/>
        <w:tblW w:w="9016" w:type="dxa"/>
        <w:tblLook w:val="04A0" w:firstRow="1" w:lastRow="0" w:firstColumn="1" w:lastColumn="0" w:noHBand="0" w:noVBand="1"/>
      </w:tblPr>
      <w:tblGrid>
        <w:gridCol w:w="1164"/>
        <w:gridCol w:w="4785"/>
        <w:gridCol w:w="1417"/>
        <w:gridCol w:w="1650"/>
      </w:tblGrid>
      <w:tr w:rsidR="00236025" w:rsidRPr="004C4C2D" w14:paraId="0C85A81B" w14:textId="77777777" w:rsidTr="00236025">
        <w:trPr>
          <w:trHeight w:val="416"/>
        </w:trPr>
        <w:tc>
          <w:tcPr>
            <w:tcW w:w="7366" w:type="dxa"/>
            <w:gridSpan w:val="3"/>
            <w:tcBorders>
              <w:right w:val="nil"/>
            </w:tcBorders>
            <w:shd w:val="clear" w:color="auto" w:fill="D9D9D9" w:themeFill="background1" w:themeFillShade="D9"/>
          </w:tcPr>
          <w:p w14:paraId="32DCC403" w14:textId="4DCF5792" w:rsidR="00236025" w:rsidRPr="004C4C2D" w:rsidRDefault="00236025">
            <w:pPr>
              <w:rPr>
                <w:rFonts w:ascii="Arial" w:hAnsi="Arial" w:cs="Arial"/>
                <w:b/>
                <w:sz w:val="24"/>
                <w:szCs w:val="24"/>
              </w:rPr>
            </w:pPr>
            <w:r w:rsidRPr="004C4C2D">
              <w:rPr>
                <w:rFonts w:ascii="Arial" w:hAnsi="Arial" w:cs="Arial"/>
                <w:b/>
                <w:sz w:val="24"/>
                <w:szCs w:val="24"/>
              </w:rPr>
              <w:t xml:space="preserve">Table </w:t>
            </w:r>
            <w:r>
              <w:rPr>
                <w:rFonts w:ascii="Arial" w:hAnsi="Arial" w:cs="Arial"/>
                <w:b/>
                <w:sz w:val="24"/>
                <w:szCs w:val="24"/>
              </w:rPr>
              <w:t>4</w:t>
            </w:r>
            <w:r w:rsidRPr="004C4C2D">
              <w:rPr>
                <w:rFonts w:ascii="Arial" w:hAnsi="Arial" w:cs="Arial"/>
                <w:b/>
                <w:sz w:val="24"/>
                <w:szCs w:val="24"/>
              </w:rPr>
              <w:t xml:space="preserve">: </w:t>
            </w:r>
            <w:r w:rsidR="00AA200F">
              <w:rPr>
                <w:rFonts w:ascii="Arial" w:hAnsi="Arial" w:cs="Arial"/>
                <w:b/>
                <w:sz w:val="24"/>
                <w:szCs w:val="24"/>
              </w:rPr>
              <w:t>Total f</w:t>
            </w:r>
            <w:r w:rsidRPr="004C4C2D">
              <w:rPr>
                <w:rFonts w:ascii="Arial" w:hAnsi="Arial" w:cs="Arial"/>
                <w:b/>
                <w:sz w:val="24"/>
                <w:szCs w:val="24"/>
              </w:rPr>
              <w:t>ees paid by landlord behaviour scenarios</w:t>
            </w:r>
          </w:p>
        </w:tc>
        <w:tc>
          <w:tcPr>
            <w:tcW w:w="1650" w:type="dxa"/>
            <w:tcBorders>
              <w:left w:val="nil"/>
            </w:tcBorders>
            <w:shd w:val="clear" w:color="auto" w:fill="D9D9D9" w:themeFill="background1" w:themeFillShade="D9"/>
          </w:tcPr>
          <w:p w14:paraId="5A586774" w14:textId="77777777" w:rsidR="00236025" w:rsidRPr="004C4C2D" w:rsidRDefault="00236025" w:rsidP="00815325">
            <w:pPr>
              <w:rPr>
                <w:rFonts w:ascii="Arial" w:hAnsi="Arial" w:cs="Arial"/>
                <w:b/>
                <w:sz w:val="24"/>
                <w:szCs w:val="24"/>
              </w:rPr>
            </w:pPr>
          </w:p>
        </w:tc>
      </w:tr>
      <w:tr w:rsidR="00236025" w:rsidRPr="00C504CD" w14:paraId="134FCAFA" w14:textId="77777777" w:rsidTr="00236025">
        <w:trPr>
          <w:trHeight w:val="408"/>
        </w:trPr>
        <w:tc>
          <w:tcPr>
            <w:tcW w:w="1164" w:type="dxa"/>
            <w:hideMark/>
          </w:tcPr>
          <w:p w14:paraId="7E8EDAE9" w14:textId="77777777" w:rsidR="00236025" w:rsidRPr="00C504CD" w:rsidRDefault="00236025" w:rsidP="00815325">
            <w:pPr>
              <w:rPr>
                <w:rFonts w:ascii="Arial" w:eastAsia="Times New Roman" w:hAnsi="Arial" w:cs="Arial"/>
                <w:color w:val="000000"/>
                <w:lang w:eastAsia="en-GB"/>
              </w:rPr>
            </w:pPr>
            <w:r w:rsidRPr="00C504CD">
              <w:rPr>
                <w:rFonts w:ascii="Arial" w:eastAsia="Times New Roman" w:hAnsi="Arial" w:cs="Arial"/>
                <w:color w:val="000000"/>
                <w:lang w:eastAsia="en-GB"/>
              </w:rPr>
              <w:t>Scenario</w:t>
            </w:r>
          </w:p>
        </w:tc>
        <w:tc>
          <w:tcPr>
            <w:tcW w:w="4785" w:type="dxa"/>
            <w:hideMark/>
          </w:tcPr>
          <w:p w14:paraId="49712B4F" w14:textId="77777777" w:rsidR="00236025" w:rsidRPr="00C504CD" w:rsidRDefault="00236025" w:rsidP="00815325">
            <w:pPr>
              <w:rPr>
                <w:rFonts w:ascii="Arial" w:eastAsia="Times New Roman" w:hAnsi="Arial" w:cs="Arial"/>
                <w:color w:val="000000"/>
                <w:lang w:eastAsia="en-GB"/>
              </w:rPr>
            </w:pPr>
            <w:r w:rsidRPr="00C504CD">
              <w:rPr>
                <w:rFonts w:ascii="Arial" w:eastAsia="Times New Roman" w:hAnsi="Arial" w:cs="Arial"/>
                <w:color w:val="000000"/>
                <w:lang w:eastAsia="en-GB"/>
              </w:rPr>
              <w:t> </w:t>
            </w:r>
          </w:p>
        </w:tc>
        <w:tc>
          <w:tcPr>
            <w:tcW w:w="1417" w:type="dxa"/>
            <w:hideMark/>
          </w:tcPr>
          <w:p w14:paraId="1597498C" w14:textId="77777777" w:rsidR="00236025" w:rsidRPr="00C504CD" w:rsidRDefault="00236025" w:rsidP="00815325">
            <w:pPr>
              <w:rPr>
                <w:rFonts w:ascii="Arial" w:eastAsia="Times New Roman" w:hAnsi="Arial" w:cs="Arial"/>
                <w:color w:val="000000"/>
                <w:lang w:eastAsia="en-GB"/>
              </w:rPr>
            </w:pPr>
            <w:r w:rsidRPr="00C504CD">
              <w:rPr>
                <w:rFonts w:ascii="Arial" w:eastAsia="Times New Roman" w:hAnsi="Arial" w:cs="Arial"/>
                <w:color w:val="000000"/>
                <w:lang w:eastAsia="en-GB"/>
              </w:rPr>
              <w:t xml:space="preserve">Fee paid </w:t>
            </w:r>
          </w:p>
        </w:tc>
        <w:tc>
          <w:tcPr>
            <w:tcW w:w="1650" w:type="dxa"/>
          </w:tcPr>
          <w:p w14:paraId="67ED3D26" w14:textId="77777777" w:rsidR="00236025" w:rsidRPr="00C504CD" w:rsidRDefault="00236025" w:rsidP="00815325">
            <w:pPr>
              <w:rPr>
                <w:rFonts w:ascii="Arial" w:eastAsia="Times New Roman" w:hAnsi="Arial" w:cs="Arial"/>
                <w:color w:val="000000"/>
                <w:lang w:eastAsia="en-GB"/>
              </w:rPr>
            </w:pPr>
            <w:r w:rsidRPr="00C504CD">
              <w:rPr>
                <w:rFonts w:ascii="Arial" w:eastAsia="Times New Roman" w:hAnsi="Arial" w:cs="Arial"/>
                <w:color w:val="000000"/>
                <w:lang w:eastAsia="en-GB"/>
              </w:rPr>
              <w:t>Fee paid per annum</w:t>
            </w:r>
          </w:p>
        </w:tc>
      </w:tr>
      <w:tr w:rsidR="00236025" w:rsidRPr="00C504CD" w14:paraId="2945A9EC" w14:textId="77777777" w:rsidTr="00236025">
        <w:trPr>
          <w:trHeight w:val="870"/>
        </w:trPr>
        <w:tc>
          <w:tcPr>
            <w:tcW w:w="1164" w:type="dxa"/>
            <w:noWrap/>
            <w:hideMark/>
          </w:tcPr>
          <w:p w14:paraId="772A8912" w14:textId="77777777" w:rsidR="00236025" w:rsidRPr="00C504CD" w:rsidRDefault="00236025" w:rsidP="00815325">
            <w:pPr>
              <w:rPr>
                <w:rFonts w:ascii="Calibri" w:eastAsia="Times New Roman" w:hAnsi="Calibri" w:cs="Calibri"/>
                <w:color w:val="000000"/>
                <w:lang w:eastAsia="en-GB"/>
              </w:rPr>
            </w:pPr>
            <w:r w:rsidRPr="00C504CD">
              <w:rPr>
                <w:rFonts w:ascii="Calibri" w:eastAsia="Times New Roman" w:hAnsi="Calibri" w:cs="Calibri"/>
                <w:color w:val="000000"/>
                <w:lang w:eastAsia="en-GB"/>
              </w:rPr>
              <w:t>1</w:t>
            </w:r>
          </w:p>
        </w:tc>
        <w:tc>
          <w:tcPr>
            <w:tcW w:w="4785" w:type="dxa"/>
            <w:hideMark/>
          </w:tcPr>
          <w:p w14:paraId="35D976D8" w14:textId="77777777" w:rsidR="00236025" w:rsidRPr="00C504CD" w:rsidRDefault="00236025" w:rsidP="004F195B">
            <w:pPr>
              <w:rPr>
                <w:rFonts w:ascii="Calibri" w:eastAsia="Times New Roman" w:hAnsi="Calibri" w:cs="Calibri"/>
                <w:color w:val="000000"/>
                <w:lang w:eastAsia="en-GB"/>
              </w:rPr>
            </w:pPr>
            <w:r w:rsidRPr="00C504CD">
              <w:rPr>
                <w:rFonts w:ascii="Calibri" w:eastAsia="Times New Roman" w:hAnsi="Calibri" w:cs="Calibri"/>
                <w:color w:val="000000"/>
                <w:lang w:eastAsia="en-GB"/>
              </w:rPr>
              <w:t xml:space="preserve">Accredited landlord / agent with early bird discount (application made within </w:t>
            </w:r>
            <w:r w:rsidR="004F195B">
              <w:rPr>
                <w:rFonts w:ascii="Calibri" w:eastAsia="Times New Roman" w:hAnsi="Calibri" w:cs="Calibri"/>
                <w:color w:val="000000"/>
                <w:lang w:eastAsia="en-GB"/>
              </w:rPr>
              <w:t>six</w:t>
            </w:r>
            <w:r w:rsidRPr="00C504CD">
              <w:rPr>
                <w:rFonts w:ascii="Calibri" w:eastAsia="Times New Roman" w:hAnsi="Calibri" w:cs="Calibri"/>
                <w:color w:val="000000"/>
                <w:lang w:eastAsia="en-GB"/>
              </w:rPr>
              <w:t xml:space="preserve"> months of commencement date)</w:t>
            </w:r>
          </w:p>
        </w:tc>
        <w:tc>
          <w:tcPr>
            <w:tcW w:w="1417" w:type="dxa"/>
            <w:noWrap/>
            <w:hideMark/>
          </w:tcPr>
          <w:p w14:paraId="72B10752" w14:textId="77777777" w:rsidR="00236025" w:rsidRPr="00C504CD" w:rsidRDefault="00236025" w:rsidP="00815325">
            <w:pPr>
              <w:rPr>
                <w:rFonts w:ascii="Calibri" w:eastAsia="Times New Roman" w:hAnsi="Calibri" w:cs="Calibri"/>
                <w:color w:val="000000"/>
                <w:lang w:eastAsia="en-GB"/>
              </w:rPr>
            </w:pPr>
            <w:r>
              <w:rPr>
                <w:rFonts w:ascii="Calibri" w:eastAsia="Times New Roman" w:hAnsi="Calibri" w:cs="Calibri"/>
                <w:color w:val="000000"/>
                <w:lang w:eastAsia="en-GB"/>
              </w:rPr>
              <w:t>£</w:t>
            </w:r>
            <w:r w:rsidRPr="00C504CD">
              <w:rPr>
                <w:rFonts w:ascii="Calibri" w:eastAsia="Times New Roman" w:hAnsi="Calibri" w:cs="Calibri"/>
                <w:color w:val="000000"/>
                <w:lang w:eastAsia="en-GB"/>
              </w:rPr>
              <w:t>300</w:t>
            </w:r>
          </w:p>
        </w:tc>
        <w:tc>
          <w:tcPr>
            <w:tcW w:w="1650" w:type="dxa"/>
          </w:tcPr>
          <w:p w14:paraId="0C72C03D" w14:textId="77777777" w:rsidR="00236025" w:rsidRPr="00C504CD" w:rsidRDefault="00236025" w:rsidP="00815325">
            <w:pPr>
              <w:rPr>
                <w:rFonts w:ascii="Calibri" w:eastAsia="Times New Roman" w:hAnsi="Calibri" w:cs="Calibri"/>
                <w:color w:val="000000"/>
                <w:lang w:eastAsia="en-GB"/>
              </w:rPr>
            </w:pPr>
            <w:r w:rsidRPr="00C504CD">
              <w:rPr>
                <w:rFonts w:ascii="Calibri" w:eastAsia="Times New Roman" w:hAnsi="Calibri" w:cs="Calibri"/>
                <w:color w:val="000000"/>
                <w:lang w:eastAsia="en-GB"/>
              </w:rPr>
              <w:t>£60</w:t>
            </w:r>
          </w:p>
        </w:tc>
      </w:tr>
      <w:tr w:rsidR="00236025" w:rsidRPr="00C504CD" w14:paraId="11AD39F9" w14:textId="77777777" w:rsidTr="00236025">
        <w:trPr>
          <w:trHeight w:val="580"/>
        </w:trPr>
        <w:tc>
          <w:tcPr>
            <w:tcW w:w="1164" w:type="dxa"/>
            <w:noWrap/>
            <w:hideMark/>
          </w:tcPr>
          <w:p w14:paraId="70947A54" w14:textId="77777777" w:rsidR="00236025" w:rsidRPr="00C504CD" w:rsidRDefault="00236025" w:rsidP="00815325">
            <w:pPr>
              <w:rPr>
                <w:rFonts w:ascii="Calibri" w:eastAsia="Times New Roman" w:hAnsi="Calibri" w:cs="Calibri"/>
                <w:color w:val="000000"/>
                <w:lang w:eastAsia="en-GB"/>
              </w:rPr>
            </w:pPr>
            <w:r w:rsidRPr="00C504CD">
              <w:rPr>
                <w:rFonts w:ascii="Calibri" w:eastAsia="Times New Roman" w:hAnsi="Calibri" w:cs="Calibri"/>
                <w:color w:val="000000"/>
                <w:lang w:eastAsia="en-GB"/>
              </w:rPr>
              <w:t>2</w:t>
            </w:r>
          </w:p>
        </w:tc>
        <w:tc>
          <w:tcPr>
            <w:tcW w:w="4785" w:type="dxa"/>
            <w:hideMark/>
          </w:tcPr>
          <w:p w14:paraId="0B25E02E" w14:textId="77777777" w:rsidR="00236025" w:rsidRPr="00C504CD" w:rsidRDefault="00236025" w:rsidP="004F195B">
            <w:pPr>
              <w:rPr>
                <w:rFonts w:ascii="Calibri" w:eastAsia="Times New Roman" w:hAnsi="Calibri" w:cs="Calibri"/>
                <w:color w:val="000000"/>
                <w:lang w:eastAsia="en-GB"/>
              </w:rPr>
            </w:pPr>
            <w:r w:rsidRPr="00C504CD">
              <w:rPr>
                <w:rFonts w:ascii="Calibri" w:eastAsia="Times New Roman" w:hAnsi="Calibri" w:cs="Calibri"/>
                <w:color w:val="000000"/>
                <w:lang w:eastAsia="en-GB"/>
              </w:rPr>
              <w:t xml:space="preserve">Landlord / agent with early bird discount (application made within </w:t>
            </w:r>
            <w:r w:rsidR="004F195B">
              <w:rPr>
                <w:rFonts w:ascii="Calibri" w:eastAsia="Times New Roman" w:hAnsi="Calibri" w:cs="Calibri"/>
                <w:color w:val="000000"/>
                <w:lang w:eastAsia="en-GB"/>
              </w:rPr>
              <w:t xml:space="preserve">six </w:t>
            </w:r>
            <w:r w:rsidRPr="00C504CD">
              <w:rPr>
                <w:rFonts w:ascii="Calibri" w:eastAsia="Times New Roman" w:hAnsi="Calibri" w:cs="Calibri"/>
                <w:color w:val="000000"/>
                <w:lang w:eastAsia="en-GB"/>
              </w:rPr>
              <w:t>months of commencement date)</w:t>
            </w:r>
          </w:p>
        </w:tc>
        <w:tc>
          <w:tcPr>
            <w:tcW w:w="1417" w:type="dxa"/>
            <w:noWrap/>
            <w:hideMark/>
          </w:tcPr>
          <w:p w14:paraId="4715FB55" w14:textId="77777777" w:rsidR="00236025" w:rsidRPr="00C504CD" w:rsidRDefault="00236025" w:rsidP="00815325">
            <w:pPr>
              <w:rPr>
                <w:rFonts w:ascii="Calibri" w:eastAsia="Times New Roman" w:hAnsi="Calibri" w:cs="Calibri"/>
                <w:color w:val="000000"/>
                <w:lang w:eastAsia="en-GB"/>
              </w:rPr>
            </w:pPr>
            <w:r>
              <w:rPr>
                <w:rFonts w:ascii="Calibri" w:eastAsia="Times New Roman" w:hAnsi="Calibri" w:cs="Calibri"/>
                <w:color w:val="000000"/>
                <w:lang w:eastAsia="en-GB"/>
              </w:rPr>
              <w:t>£</w:t>
            </w:r>
            <w:r w:rsidRPr="00C504CD">
              <w:rPr>
                <w:rFonts w:ascii="Calibri" w:eastAsia="Times New Roman" w:hAnsi="Calibri" w:cs="Calibri"/>
                <w:color w:val="000000"/>
                <w:lang w:eastAsia="en-GB"/>
              </w:rPr>
              <w:t>400</w:t>
            </w:r>
          </w:p>
        </w:tc>
        <w:tc>
          <w:tcPr>
            <w:tcW w:w="1650" w:type="dxa"/>
          </w:tcPr>
          <w:p w14:paraId="3157D5AE" w14:textId="77777777" w:rsidR="00236025" w:rsidRPr="00C504CD" w:rsidRDefault="00236025" w:rsidP="00815325">
            <w:pPr>
              <w:rPr>
                <w:rFonts w:ascii="Calibri" w:eastAsia="Times New Roman" w:hAnsi="Calibri" w:cs="Calibri"/>
                <w:color w:val="000000"/>
                <w:lang w:eastAsia="en-GB"/>
              </w:rPr>
            </w:pPr>
            <w:r w:rsidRPr="00C504CD">
              <w:rPr>
                <w:rFonts w:ascii="Calibri" w:eastAsia="Times New Roman" w:hAnsi="Calibri" w:cs="Calibri"/>
                <w:color w:val="000000"/>
                <w:lang w:eastAsia="en-GB"/>
              </w:rPr>
              <w:t>£80</w:t>
            </w:r>
          </w:p>
        </w:tc>
      </w:tr>
      <w:tr w:rsidR="00236025" w:rsidRPr="00C504CD" w14:paraId="0EE6B81E" w14:textId="77777777" w:rsidTr="00236025">
        <w:trPr>
          <w:trHeight w:val="580"/>
        </w:trPr>
        <w:tc>
          <w:tcPr>
            <w:tcW w:w="1164" w:type="dxa"/>
            <w:noWrap/>
            <w:hideMark/>
          </w:tcPr>
          <w:p w14:paraId="3D95BD0E" w14:textId="77777777" w:rsidR="00236025" w:rsidRPr="00C504CD" w:rsidRDefault="00236025" w:rsidP="00815325">
            <w:pPr>
              <w:rPr>
                <w:rFonts w:ascii="Calibri" w:eastAsia="Times New Roman" w:hAnsi="Calibri" w:cs="Calibri"/>
                <w:color w:val="000000"/>
                <w:lang w:eastAsia="en-GB"/>
              </w:rPr>
            </w:pPr>
            <w:r w:rsidRPr="00C504CD">
              <w:rPr>
                <w:rFonts w:ascii="Calibri" w:eastAsia="Times New Roman" w:hAnsi="Calibri" w:cs="Calibri"/>
                <w:color w:val="000000"/>
                <w:lang w:eastAsia="en-GB"/>
              </w:rPr>
              <w:t>3</w:t>
            </w:r>
          </w:p>
        </w:tc>
        <w:tc>
          <w:tcPr>
            <w:tcW w:w="4785" w:type="dxa"/>
            <w:hideMark/>
          </w:tcPr>
          <w:p w14:paraId="34829362" w14:textId="135A7371" w:rsidR="00236025" w:rsidRPr="00C504CD" w:rsidRDefault="00236025">
            <w:pPr>
              <w:rPr>
                <w:rFonts w:ascii="Calibri" w:eastAsia="Times New Roman" w:hAnsi="Calibri" w:cs="Calibri"/>
                <w:color w:val="000000"/>
                <w:lang w:eastAsia="en-GB"/>
              </w:rPr>
            </w:pPr>
            <w:r w:rsidRPr="00C504CD">
              <w:rPr>
                <w:rFonts w:ascii="Calibri" w:eastAsia="Times New Roman" w:hAnsi="Calibri" w:cs="Calibri"/>
                <w:color w:val="000000"/>
                <w:lang w:eastAsia="en-GB"/>
              </w:rPr>
              <w:t xml:space="preserve">Landlord / agent makes </w:t>
            </w:r>
            <w:r w:rsidR="004F195B">
              <w:rPr>
                <w:rFonts w:ascii="Calibri" w:eastAsia="Times New Roman" w:hAnsi="Calibri" w:cs="Calibri"/>
                <w:color w:val="000000"/>
                <w:lang w:eastAsia="en-GB"/>
              </w:rPr>
              <w:t xml:space="preserve">incomplete </w:t>
            </w:r>
            <w:r w:rsidRPr="00C504CD">
              <w:rPr>
                <w:rFonts w:ascii="Calibri" w:eastAsia="Times New Roman" w:hAnsi="Calibri" w:cs="Calibri"/>
                <w:color w:val="000000"/>
                <w:lang w:eastAsia="en-GB"/>
              </w:rPr>
              <w:t xml:space="preserve">application </w:t>
            </w:r>
            <w:r w:rsidR="004F195B">
              <w:rPr>
                <w:rFonts w:ascii="Calibri" w:eastAsia="Times New Roman" w:hAnsi="Calibri" w:cs="Calibri"/>
                <w:color w:val="000000"/>
                <w:lang w:eastAsia="en-GB"/>
              </w:rPr>
              <w:t>up to</w:t>
            </w:r>
            <w:r w:rsidR="00B01119">
              <w:rPr>
                <w:rFonts w:ascii="Calibri" w:eastAsia="Times New Roman" w:hAnsi="Calibri" w:cs="Calibri"/>
                <w:color w:val="000000"/>
                <w:lang w:eastAsia="en-GB"/>
              </w:rPr>
              <w:t xml:space="preserve"> 6 </w:t>
            </w:r>
            <w:r w:rsidR="00B01119" w:rsidRPr="00C504CD">
              <w:rPr>
                <w:rFonts w:ascii="Calibri" w:eastAsia="Times New Roman" w:hAnsi="Calibri" w:cs="Calibri"/>
                <w:color w:val="000000"/>
                <w:lang w:eastAsia="en-GB"/>
              </w:rPr>
              <w:t>month</w:t>
            </w:r>
            <w:r w:rsidR="00B01119">
              <w:rPr>
                <w:rFonts w:ascii="Calibri" w:eastAsia="Times New Roman" w:hAnsi="Calibri" w:cs="Calibri"/>
                <w:color w:val="000000"/>
                <w:lang w:eastAsia="en-GB"/>
              </w:rPr>
              <w:t>s</w:t>
            </w:r>
            <w:r w:rsidRPr="00C504CD">
              <w:rPr>
                <w:rFonts w:ascii="Calibri" w:eastAsia="Times New Roman" w:hAnsi="Calibri" w:cs="Calibri"/>
                <w:color w:val="000000"/>
                <w:lang w:eastAsia="en-GB"/>
              </w:rPr>
              <w:t xml:space="preserve"> of commencement date</w:t>
            </w:r>
          </w:p>
        </w:tc>
        <w:tc>
          <w:tcPr>
            <w:tcW w:w="1417" w:type="dxa"/>
            <w:noWrap/>
            <w:hideMark/>
          </w:tcPr>
          <w:p w14:paraId="105CF384" w14:textId="77777777" w:rsidR="00236025" w:rsidRPr="00C504CD" w:rsidRDefault="00236025" w:rsidP="00815325">
            <w:pPr>
              <w:rPr>
                <w:rFonts w:ascii="Calibri" w:eastAsia="Times New Roman" w:hAnsi="Calibri" w:cs="Calibri"/>
                <w:color w:val="000000"/>
                <w:lang w:eastAsia="en-GB"/>
              </w:rPr>
            </w:pPr>
            <w:r>
              <w:rPr>
                <w:rFonts w:ascii="Calibri" w:eastAsia="Times New Roman" w:hAnsi="Calibri" w:cs="Calibri"/>
                <w:color w:val="000000"/>
                <w:lang w:eastAsia="en-GB"/>
              </w:rPr>
              <w:t>£</w:t>
            </w:r>
            <w:r w:rsidRPr="00C504CD">
              <w:rPr>
                <w:rFonts w:ascii="Calibri" w:eastAsia="Times New Roman" w:hAnsi="Calibri" w:cs="Calibri"/>
                <w:color w:val="000000"/>
                <w:lang w:eastAsia="en-GB"/>
              </w:rPr>
              <w:t>480</w:t>
            </w:r>
          </w:p>
        </w:tc>
        <w:tc>
          <w:tcPr>
            <w:tcW w:w="1650" w:type="dxa"/>
          </w:tcPr>
          <w:p w14:paraId="58F6CB6B" w14:textId="77777777" w:rsidR="00236025" w:rsidRPr="00C504CD" w:rsidRDefault="00236025" w:rsidP="00815325">
            <w:pPr>
              <w:rPr>
                <w:rFonts w:ascii="Calibri" w:eastAsia="Times New Roman" w:hAnsi="Calibri" w:cs="Calibri"/>
                <w:color w:val="000000"/>
                <w:lang w:eastAsia="en-GB"/>
              </w:rPr>
            </w:pPr>
            <w:r w:rsidRPr="00C504CD">
              <w:rPr>
                <w:rFonts w:ascii="Calibri" w:eastAsia="Times New Roman" w:hAnsi="Calibri" w:cs="Calibri"/>
                <w:color w:val="000000"/>
                <w:lang w:eastAsia="en-GB"/>
              </w:rPr>
              <w:t>£96</w:t>
            </w:r>
          </w:p>
        </w:tc>
      </w:tr>
      <w:tr w:rsidR="00236025" w:rsidRPr="00C504CD" w14:paraId="36C577AC" w14:textId="77777777" w:rsidTr="00236025">
        <w:trPr>
          <w:trHeight w:val="1740"/>
        </w:trPr>
        <w:tc>
          <w:tcPr>
            <w:tcW w:w="1164" w:type="dxa"/>
            <w:noWrap/>
            <w:hideMark/>
          </w:tcPr>
          <w:p w14:paraId="44320E1F" w14:textId="77777777" w:rsidR="00236025" w:rsidRPr="00C504CD" w:rsidRDefault="00236025" w:rsidP="00815325">
            <w:pPr>
              <w:rPr>
                <w:rFonts w:ascii="Calibri" w:eastAsia="Times New Roman" w:hAnsi="Calibri" w:cs="Calibri"/>
                <w:color w:val="000000"/>
                <w:lang w:eastAsia="en-GB"/>
              </w:rPr>
            </w:pPr>
            <w:r w:rsidRPr="00C504CD">
              <w:rPr>
                <w:rFonts w:ascii="Calibri" w:eastAsia="Times New Roman" w:hAnsi="Calibri" w:cs="Calibri"/>
                <w:color w:val="000000"/>
                <w:lang w:eastAsia="en-GB"/>
              </w:rPr>
              <w:t>4</w:t>
            </w:r>
          </w:p>
        </w:tc>
        <w:tc>
          <w:tcPr>
            <w:tcW w:w="4785" w:type="dxa"/>
            <w:hideMark/>
          </w:tcPr>
          <w:p w14:paraId="4F549014" w14:textId="100B639C" w:rsidR="00236025" w:rsidRPr="00C504CD" w:rsidRDefault="00236025">
            <w:pPr>
              <w:rPr>
                <w:rFonts w:ascii="Calibri" w:eastAsia="Times New Roman" w:hAnsi="Calibri" w:cs="Calibri"/>
                <w:color w:val="000000"/>
                <w:lang w:eastAsia="en-GB"/>
              </w:rPr>
            </w:pPr>
            <w:r w:rsidRPr="00C504CD">
              <w:rPr>
                <w:rFonts w:ascii="Calibri" w:eastAsia="Times New Roman" w:hAnsi="Calibri" w:cs="Calibri"/>
                <w:color w:val="000000"/>
                <w:lang w:eastAsia="en-GB"/>
              </w:rPr>
              <w:t>Landlord / agent makes application</w:t>
            </w:r>
            <w:r w:rsidR="00B01119">
              <w:rPr>
                <w:rFonts w:ascii="Calibri" w:eastAsia="Times New Roman" w:hAnsi="Calibri" w:cs="Calibri"/>
                <w:color w:val="000000"/>
                <w:lang w:eastAsia="en-GB"/>
              </w:rPr>
              <w:t xml:space="preserve"> </w:t>
            </w:r>
            <w:r w:rsidR="004F195B">
              <w:rPr>
                <w:rFonts w:ascii="Calibri" w:eastAsia="Times New Roman" w:hAnsi="Calibri" w:cs="Calibri"/>
                <w:color w:val="000000"/>
                <w:lang w:eastAsia="en-GB"/>
              </w:rPr>
              <w:t>up to</w:t>
            </w:r>
            <w:r w:rsidR="00B01119">
              <w:rPr>
                <w:rFonts w:ascii="Calibri" w:eastAsia="Times New Roman" w:hAnsi="Calibri" w:cs="Calibri"/>
                <w:color w:val="000000"/>
                <w:lang w:eastAsia="en-GB"/>
              </w:rPr>
              <w:t xml:space="preserve"> 6 </w:t>
            </w:r>
            <w:r w:rsidRPr="00C504CD">
              <w:rPr>
                <w:rFonts w:ascii="Calibri" w:eastAsia="Times New Roman" w:hAnsi="Calibri" w:cs="Calibri"/>
                <w:color w:val="000000"/>
                <w:lang w:eastAsia="en-GB"/>
              </w:rPr>
              <w:t xml:space="preserve">months of commencement date. Due to concerns / known issues they are issued one year licence. Inspection shows good management and all documents now satisfactory. On renewal, converted to 5 year licence </w:t>
            </w:r>
          </w:p>
        </w:tc>
        <w:tc>
          <w:tcPr>
            <w:tcW w:w="1417" w:type="dxa"/>
            <w:noWrap/>
            <w:hideMark/>
          </w:tcPr>
          <w:p w14:paraId="7A2840C7" w14:textId="77777777" w:rsidR="00236025" w:rsidRPr="00C504CD" w:rsidRDefault="00236025" w:rsidP="00815325">
            <w:pPr>
              <w:rPr>
                <w:rFonts w:ascii="Calibri" w:eastAsia="Times New Roman" w:hAnsi="Calibri" w:cs="Calibri"/>
                <w:color w:val="000000"/>
                <w:lang w:eastAsia="en-GB"/>
              </w:rPr>
            </w:pPr>
            <w:r>
              <w:rPr>
                <w:rFonts w:ascii="Calibri" w:eastAsia="Times New Roman" w:hAnsi="Calibri" w:cs="Calibri"/>
                <w:color w:val="000000"/>
                <w:lang w:eastAsia="en-GB"/>
              </w:rPr>
              <w:t>£</w:t>
            </w:r>
            <w:r w:rsidRPr="00C504CD">
              <w:rPr>
                <w:rFonts w:ascii="Calibri" w:eastAsia="Times New Roman" w:hAnsi="Calibri" w:cs="Calibri"/>
                <w:color w:val="000000"/>
                <w:lang w:eastAsia="en-GB"/>
              </w:rPr>
              <w:t>611</w:t>
            </w:r>
          </w:p>
        </w:tc>
        <w:tc>
          <w:tcPr>
            <w:tcW w:w="1650" w:type="dxa"/>
          </w:tcPr>
          <w:p w14:paraId="754A199C" w14:textId="77777777" w:rsidR="00236025" w:rsidRPr="00C504CD" w:rsidRDefault="00236025" w:rsidP="00815325">
            <w:pPr>
              <w:rPr>
                <w:rFonts w:ascii="Calibri" w:eastAsia="Times New Roman" w:hAnsi="Calibri" w:cs="Calibri"/>
                <w:color w:val="000000"/>
                <w:lang w:eastAsia="en-GB"/>
              </w:rPr>
            </w:pPr>
            <w:r w:rsidRPr="00C504CD">
              <w:rPr>
                <w:rFonts w:ascii="Calibri" w:eastAsia="Times New Roman" w:hAnsi="Calibri" w:cs="Calibri"/>
                <w:color w:val="000000"/>
                <w:lang w:eastAsia="en-GB"/>
              </w:rPr>
              <w:t>£102</w:t>
            </w:r>
          </w:p>
        </w:tc>
      </w:tr>
      <w:tr w:rsidR="00236025" w:rsidRPr="00C504CD" w14:paraId="6331B280" w14:textId="77777777" w:rsidTr="00236025">
        <w:trPr>
          <w:trHeight w:val="1450"/>
        </w:trPr>
        <w:tc>
          <w:tcPr>
            <w:tcW w:w="1164" w:type="dxa"/>
            <w:noWrap/>
            <w:hideMark/>
          </w:tcPr>
          <w:p w14:paraId="508CE104" w14:textId="77777777" w:rsidR="00236025" w:rsidRPr="00C504CD" w:rsidRDefault="00236025" w:rsidP="00815325">
            <w:pPr>
              <w:rPr>
                <w:rFonts w:ascii="Calibri" w:eastAsia="Times New Roman" w:hAnsi="Calibri" w:cs="Calibri"/>
                <w:color w:val="000000"/>
                <w:lang w:eastAsia="en-GB"/>
              </w:rPr>
            </w:pPr>
            <w:r w:rsidRPr="00C504CD">
              <w:rPr>
                <w:rFonts w:ascii="Calibri" w:eastAsia="Times New Roman" w:hAnsi="Calibri" w:cs="Calibri"/>
                <w:color w:val="000000"/>
                <w:lang w:eastAsia="en-GB"/>
              </w:rPr>
              <w:t>5</w:t>
            </w:r>
          </w:p>
        </w:tc>
        <w:tc>
          <w:tcPr>
            <w:tcW w:w="4785" w:type="dxa"/>
            <w:hideMark/>
          </w:tcPr>
          <w:p w14:paraId="47A146FF" w14:textId="5940506E" w:rsidR="00236025" w:rsidRPr="00C504CD" w:rsidRDefault="00236025">
            <w:pPr>
              <w:rPr>
                <w:rFonts w:ascii="Calibri" w:eastAsia="Times New Roman" w:hAnsi="Calibri" w:cs="Calibri"/>
                <w:color w:val="000000"/>
                <w:lang w:eastAsia="en-GB"/>
              </w:rPr>
            </w:pPr>
            <w:r w:rsidRPr="00C504CD">
              <w:rPr>
                <w:rFonts w:ascii="Calibri" w:eastAsia="Times New Roman" w:hAnsi="Calibri" w:cs="Calibri"/>
                <w:color w:val="000000"/>
                <w:lang w:eastAsia="en-GB"/>
              </w:rPr>
              <w:t>Landlord / agent makes application</w:t>
            </w:r>
            <w:r w:rsidR="00B01119">
              <w:rPr>
                <w:rFonts w:ascii="Calibri" w:eastAsia="Times New Roman" w:hAnsi="Calibri" w:cs="Calibri"/>
                <w:color w:val="000000"/>
                <w:lang w:eastAsia="en-GB"/>
              </w:rPr>
              <w:t xml:space="preserve"> </w:t>
            </w:r>
            <w:r w:rsidR="004F195B">
              <w:rPr>
                <w:rFonts w:ascii="Calibri" w:eastAsia="Times New Roman" w:hAnsi="Calibri" w:cs="Calibri"/>
                <w:color w:val="000000"/>
                <w:lang w:eastAsia="en-GB"/>
              </w:rPr>
              <w:t>up to</w:t>
            </w:r>
            <w:r w:rsidR="00B01119">
              <w:rPr>
                <w:rFonts w:ascii="Calibri" w:eastAsia="Times New Roman" w:hAnsi="Calibri" w:cs="Calibri"/>
                <w:color w:val="000000"/>
                <w:lang w:eastAsia="en-GB"/>
              </w:rPr>
              <w:t xml:space="preserve"> 6 </w:t>
            </w:r>
            <w:r w:rsidR="00B01119" w:rsidRPr="00C504CD">
              <w:rPr>
                <w:rFonts w:ascii="Calibri" w:eastAsia="Times New Roman" w:hAnsi="Calibri" w:cs="Calibri"/>
                <w:color w:val="000000"/>
                <w:lang w:eastAsia="en-GB"/>
              </w:rPr>
              <w:t>month</w:t>
            </w:r>
            <w:r w:rsidR="00AA200F">
              <w:rPr>
                <w:rFonts w:ascii="Calibri" w:eastAsia="Times New Roman" w:hAnsi="Calibri" w:cs="Calibri"/>
                <w:color w:val="000000"/>
                <w:lang w:eastAsia="en-GB"/>
              </w:rPr>
              <w:t>s</w:t>
            </w:r>
            <w:r w:rsidRPr="00C504CD">
              <w:rPr>
                <w:rFonts w:ascii="Calibri" w:eastAsia="Times New Roman" w:hAnsi="Calibri" w:cs="Calibri"/>
                <w:color w:val="000000"/>
                <w:lang w:eastAsia="en-GB"/>
              </w:rPr>
              <w:t xml:space="preserve"> of commencement date and issued one year licence. Yr2 renewed at one year higher rate for non-compliance. Yr3 renewal converted to 5 year licence </w:t>
            </w:r>
          </w:p>
        </w:tc>
        <w:tc>
          <w:tcPr>
            <w:tcW w:w="1417" w:type="dxa"/>
            <w:noWrap/>
            <w:hideMark/>
          </w:tcPr>
          <w:p w14:paraId="112D77BC" w14:textId="77777777" w:rsidR="00236025" w:rsidRPr="00C504CD" w:rsidRDefault="00236025" w:rsidP="00815325">
            <w:pPr>
              <w:rPr>
                <w:rFonts w:ascii="Calibri" w:eastAsia="Times New Roman" w:hAnsi="Calibri" w:cs="Calibri"/>
                <w:color w:val="000000"/>
                <w:lang w:eastAsia="en-GB"/>
              </w:rPr>
            </w:pPr>
            <w:r>
              <w:rPr>
                <w:rFonts w:ascii="Calibri" w:eastAsia="Times New Roman" w:hAnsi="Calibri" w:cs="Calibri"/>
                <w:color w:val="000000"/>
                <w:lang w:eastAsia="en-GB"/>
              </w:rPr>
              <w:t>£</w:t>
            </w:r>
            <w:r w:rsidRPr="00C504CD">
              <w:rPr>
                <w:rFonts w:ascii="Calibri" w:eastAsia="Times New Roman" w:hAnsi="Calibri" w:cs="Calibri"/>
                <w:color w:val="000000"/>
                <w:lang w:eastAsia="en-GB"/>
              </w:rPr>
              <w:t>891</w:t>
            </w:r>
          </w:p>
        </w:tc>
        <w:tc>
          <w:tcPr>
            <w:tcW w:w="1650" w:type="dxa"/>
          </w:tcPr>
          <w:p w14:paraId="18572BA2" w14:textId="77777777" w:rsidR="00236025" w:rsidRPr="00C504CD" w:rsidRDefault="00236025" w:rsidP="00815325">
            <w:pPr>
              <w:rPr>
                <w:rFonts w:ascii="Calibri" w:eastAsia="Times New Roman" w:hAnsi="Calibri" w:cs="Calibri"/>
                <w:color w:val="000000"/>
                <w:lang w:eastAsia="en-GB"/>
              </w:rPr>
            </w:pPr>
            <w:r w:rsidRPr="00C504CD">
              <w:rPr>
                <w:rFonts w:ascii="Calibri" w:eastAsia="Times New Roman" w:hAnsi="Calibri" w:cs="Calibri"/>
                <w:color w:val="000000"/>
                <w:lang w:eastAsia="en-GB"/>
              </w:rPr>
              <w:t>£127</w:t>
            </w:r>
          </w:p>
        </w:tc>
      </w:tr>
      <w:tr w:rsidR="00236025" w:rsidRPr="00C504CD" w14:paraId="30306856" w14:textId="77777777" w:rsidTr="00236025">
        <w:trPr>
          <w:trHeight w:val="1160"/>
        </w:trPr>
        <w:tc>
          <w:tcPr>
            <w:tcW w:w="1164" w:type="dxa"/>
            <w:noWrap/>
            <w:hideMark/>
          </w:tcPr>
          <w:p w14:paraId="0499D1BD" w14:textId="77777777" w:rsidR="00236025" w:rsidRPr="00C504CD" w:rsidRDefault="00236025" w:rsidP="00815325">
            <w:pPr>
              <w:rPr>
                <w:rFonts w:ascii="Calibri" w:eastAsia="Times New Roman" w:hAnsi="Calibri" w:cs="Calibri"/>
                <w:color w:val="000000"/>
                <w:lang w:eastAsia="en-GB"/>
              </w:rPr>
            </w:pPr>
            <w:r w:rsidRPr="00C504CD">
              <w:rPr>
                <w:rFonts w:ascii="Calibri" w:eastAsia="Times New Roman" w:hAnsi="Calibri" w:cs="Calibri"/>
                <w:color w:val="000000"/>
                <w:lang w:eastAsia="en-GB"/>
              </w:rPr>
              <w:t>6</w:t>
            </w:r>
          </w:p>
        </w:tc>
        <w:tc>
          <w:tcPr>
            <w:tcW w:w="4785" w:type="dxa"/>
            <w:hideMark/>
          </w:tcPr>
          <w:p w14:paraId="1C0FEF18" w14:textId="77777777" w:rsidR="00236025" w:rsidRPr="00C504CD" w:rsidRDefault="00236025" w:rsidP="00236025">
            <w:pPr>
              <w:rPr>
                <w:rFonts w:ascii="Calibri" w:eastAsia="Times New Roman" w:hAnsi="Calibri" w:cs="Calibri"/>
                <w:color w:val="000000"/>
                <w:lang w:eastAsia="en-GB"/>
              </w:rPr>
            </w:pPr>
            <w:r w:rsidRPr="00C504CD">
              <w:rPr>
                <w:rFonts w:ascii="Calibri" w:eastAsia="Times New Roman" w:hAnsi="Calibri" w:cs="Calibri"/>
                <w:color w:val="000000"/>
                <w:lang w:eastAsia="en-GB"/>
              </w:rPr>
              <w:t xml:space="preserve">Landlord / agent makes application after six months of commencement date </w:t>
            </w:r>
            <w:r w:rsidR="00B01119">
              <w:rPr>
                <w:rFonts w:ascii="Calibri" w:eastAsia="Times New Roman" w:hAnsi="Calibri" w:cs="Calibri"/>
                <w:color w:val="000000"/>
                <w:lang w:eastAsia="en-GB"/>
              </w:rPr>
              <w:t xml:space="preserve">and issued five year licence for a property that has been licensable for more than 3 months </w:t>
            </w:r>
          </w:p>
        </w:tc>
        <w:tc>
          <w:tcPr>
            <w:tcW w:w="1417" w:type="dxa"/>
            <w:noWrap/>
            <w:hideMark/>
          </w:tcPr>
          <w:p w14:paraId="2A541E5F" w14:textId="77777777" w:rsidR="00236025" w:rsidRPr="00C504CD" w:rsidRDefault="00236025" w:rsidP="00815325">
            <w:pPr>
              <w:rPr>
                <w:rFonts w:ascii="Calibri" w:eastAsia="Times New Roman" w:hAnsi="Calibri" w:cs="Calibri"/>
                <w:color w:val="000000"/>
                <w:lang w:eastAsia="en-GB"/>
              </w:rPr>
            </w:pPr>
            <w:r>
              <w:rPr>
                <w:rFonts w:ascii="Calibri" w:eastAsia="Times New Roman" w:hAnsi="Calibri" w:cs="Calibri"/>
                <w:color w:val="000000"/>
                <w:lang w:eastAsia="en-GB"/>
              </w:rPr>
              <w:t>£</w:t>
            </w:r>
            <w:r w:rsidRPr="00C504CD">
              <w:rPr>
                <w:rFonts w:ascii="Calibri" w:eastAsia="Times New Roman" w:hAnsi="Calibri" w:cs="Calibri"/>
                <w:color w:val="000000"/>
                <w:lang w:eastAsia="en-GB"/>
              </w:rPr>
              <w:t>1,100</w:t>
            </w:r>
          </w:p>
        </w:tc>
        <w:tc>
          <w:tcPr>
            <w:tcW w:w="1650" w:type="dxa"/>
          </w:tcPr>
          <w:p w14:paraId="781DF441" w14:textId="77777777" w:rsidR="00236025" w:rsidRPr="00C504CD" w:rsidRDefault="00236025" w:rsidP="00815325">
            <w:pPr>
              <w:rPr>
                <w:rFonts w:ascii="Calibri" w:eastAsia="Times New Roman" w:hAnsi="Calibri" w:cs="Calibri"/>
                <w:color w:val="000000"/>
                <w:lang w:eastAsia="en-GB"/>
              </w:rPr>
            </w:pPr>
            <w:r w:rsidRPr="00C504CD">
              <w:rPr>
                <w:rFonts w:ascii="Calibri" w:eastAsia="Times New Roman" w:hAnsi="Calibri" w:cs="Calibri"/>
                <w:color w:val="000000"/>
                <w:lang w:eastAsia="en-GB"/>
              </w:rPr>
              <w:t>£183</w:t>
            </w:r>
          </w:p>
        </w:tc>
      </w:tr>
      <w:tr w:rsidR="00236025" w:rsidRPr="00C504CD" w14:paraId="370F4B0A" w14:textId="77777777" w:rsidTr="00236025">
        <w:trPr>
          <w:trHeight w:val="1160"/>
        </w:trPr>
        <w:tc>
          <w:tcPr>
            <w:tcW w:w="1164" w:type="dxa"/>
            <w:noWrap/>
            <w:hideMark/>
          </w:tcPr>
          <w:p w14:paraId="4C1F757F" w14:textId="77777777" w:rsidR="00236025" w:rsidRPr="00C504CD" w:rsidRDefault="00236025" w:rsidP="00815325">
            <w:pPr>
              <w:rPr>
                <w:rFonts w:ascii="Calibri" w:eastAsia="Times New Roman" w:hAnsi="Calibri" w:cs="Calibri"/>
                <w:color w:val="000000"/>
                <w:lang w:eastAsia="en-GB"/>
              </w:rPr>
            </w:pPr>
            <w:r w:rsidRPr="00C504CD">
              <w:rPr>
                <w:rFonts w:ascii="Calibri" w:eastAsia="Times New Roman" w:hAnsi="Calibri" w:cs="Calibri"/>
                <w:color w:val="000000"/>
                <w:lang w:eastAsia="en-GB"/>
              </w:rPr>
              <w:t>7</w:t>
            </w:r>
          </w:p>
        </w:tc>
        <w:tc>
          <w:tcPr>
            <w:tcW w:w="4785" w:type="dxa"/>
            <w:hideMark/>
          </w:tcPr>
          <w:p w14:paraId="6DEB6333" w14:textId="77777777" w:rsidR="00236025" w:rsidRPr="00C504CD" w:rsidRDefault="00236025" w:rsidP="00B01119">
            <w:pPr>
              <w:rPr>
                <w:rFonts w:ascii="Calibri" w:eastAsia="Times New Roman" w:hAnsi="Calibri" w:cs="Calibri"/>
                <w:color w:val="000000"/>
                <w:lang w:eastAsia="en-GB"/>
              </w:rPr>
            </w:pPr>
            <w:r w:rsidRPr="00C504CD">
              <w:rPr>
                <w:rFonts w:ascii="Calibri" w:eastAsia="Times New Roman" w:hAnsi="Calibri" w:cs="Calibri"/>
                <w:color w:val="000000"/>
                <w:lang w:eastAsia="en-GB"/>
              </w:rPr>
              <w:t xml:space="preserve">Landlord / agent makes application </w:t>
            </w:r>
            <w:r w:rsidR="00B01119">
              <w:rPr>
                <w:rFonts w:ascii="Calibri" w:eastAsia="Times New Roman" w:hAnsi="Calibri" w:cs="Calibri"/>
                <w:color w:val="000000"/>
                <w:lang w:eastAsia="en-GB"/>
              </w:rPr>
              <w:t xml:space="preserve">up to </w:t>
            </w:r>
            <w:r w:rsidRPr="00C504CD">
              <w:rPr>
                <w:rFonts w:ascii="Calibri" w:eastAsia="Times New Roman" w:hAnsi="Calibri" w:cs="Calibri"/>
                <w:color w:val="000000"/>
                <w:lang w:eastAsia="en-GB"/>
              </w:rPr>
              <w:t>six months of commencement date and issued one year licence.Yr2, Yr 3, Yr 4, Y5 found to be non-complaint and renewed at one year higher rate.</w:t>
            </w:r>
          </w:p>
        </w:tc>
        <w:tc>
          <w:tcPr>
            <w:tcW w:w="1417" w:type="dxa"/>
            <w:noWrap/>
            <w:hideMark/>
          </w:tcPr>
          <w:p w14:paraId="7A49821A" w14:textId="77777777" w:rsidR="00236025" w:rsidRPr="00C504CD" w:rsidRDefault="00236025" w:rsidP="00B01119">
            <w:pPr>
              <w:rPr>
                <w:rFonts w:ascii="Calibri" w:eastAsia="Times New Roman" w:hAnsi="Calibri" w:cs="Calibri"/>
                <w:color w:val="000000"/>
                <w:lang w:eastAsia="en-GB"/>
              </w:rPr>
            </w:pPr>
            <w:r>
              <w:rPr>
                <w:rFonts w:ascii="Calibri" w:eastAsia="Times New Roman" w:hAnsi="Calibri" w:cs="Calibri"/>
                <w:color w:val="000000"/>
                <w:lang w:eastAsia="en-GB"/>
              </w:rPr>
              <w:t>£</w:t>
            </w:r>
            <w:r w:rsidRPr="00C504CD">
              <w:rPr>
                <w:rFonts w:ascii="Calibri" w:eastAsia="Times New Roman" w:hAnsi="Calibri" w:cs="Calibri"/>
                <w:color w:val="000000"/>
                <w:lang w:eastAsia="en-GB"/>
              </w:rPr>
              <w:t>1,</w:t>
            </w:r>
            <w:r w:rsidR="00B01119">
              <w:rPr>
                <w:rFonts w:ascii="Calibri" w:eastAsia="Times New Roman" w:hAnsi="Calibri" w:cs="Calibri"/>
                <w:color w:val="000000"/>
                <w:lang w:eastAsia="en-GB"/>
              </w:rPr>
              <w:t>264</w:t>
            </w:r>
          </w:p>
        </w:tc>
        <w:tc>
          <w:tcPr>
            <w:tcW w:w="1650" w:type="dxa"/>
          </w:tcPr>
          <w:p w14:paraId="711112E8" w14:textId="77777777" w:rsidR="00236025" w:rsidRPr="00C504CD" w:rsidRDefault="00236025" w:rsidP="00B01119">
            <w:pPr>
              <w:rPr>
                <w:rFonts w:ascii="Calibri" w:eastAsia="Times New Roman" w:hAnsi="Calibri" w:cs="Calibri"/>
                <w:color w:val="000000"/>
                <w:lang w:eastAsia="en-GB"/>
              </w:rPr>
            </w:pPr>
            <w:r w:rsidRPr="00C504CD">
              <w:rPr>
                <w:rFonts w:ascii="Calibri" w:eastAsia="Times New Roman" w:hAnsi="Calibri" w:cs="Calibri"/>
                <w:color w:val="000000"/>
                <w:lang w:eastAsia="en-GB"/>
              </w:rPr>
              <w:t>£2</w:t>
            </w:r>
            <w:r w:rsidR="00B01119">
              <w:rPr>
                <w:rFonts w:ascii="Calibri" w:eastAsia="Times New Roman" w:hAnsi="Calibri" w:cs="Calibri"/>
                <w:color w:val="000000"/>
                <w:lang w:eastAsia="en-GB"/>
              </w:rPr>
              <w:t>53</w:t>
            </w:r>
          </w:p>
        </w:tc>
      </w:tr>
      <w:tr w:rsidR="00236025" w:rsidRPr="00C504CD" w14:paraId="6CB37F79" w14:textId="77777777" w:rsidTr="00236025">
        <w:trPr>
          <w:trHeight w:val="1450"/>
        </w:trPr>
        <w:tc>
          <w:tcPr>
            <w:tcW w:w="1164" w:type="dxa"/>
            <w:noWrap/>
            <w:hideMark/>
          </w:tcPr>
          <w:p w14:paraId="60BE82BE" w14:textId="77777777" w:rsidR="00236025" w:rsidRPr="00C504CD" w:rsidRDefault="00236025" w:rsidP="00815325">
            <w:pPr>
              <w:rPr>
                <w:rFonts w:ascii="Calibri" w:eastAsia="Times New Roman" w:hAnsi="Calibri" w:cs="Calibri"/>
                <w:color w:val="000000"/>
                <w:lang w:eastAsia="en-GB"/>
              </w:rPr>
            </w:pPr>
            <w:r w:rsidRPr="00C504CD">
              <w:rPr>
                <w:rFonts w:ascii="Calibri" w:eastAsia="Times New Roman" w:hAnsi="Calibri" w:cs="Calibri"/>
                <w:color w:val="000000"/>
                <w:lang w:eastAsia="en-GB"/>
              </w:rPr>
              <w:t>8</w:t>
            </w:r>
          </w:p>
        </w:tc>
        <w:tc>
          <w:tcPr>
            <w:tcW w:w="4785" w:type="dxa"/>
            <w:hideMark/>
          </w:tcPr>
          <w:p w14:paraId="07AA9123" w14:textId="77777777" w:rsidR="00236025" w:rsidRPr="00C504CD" w:rsidRDefault="00236025" w:rsidP="00B01119">
            <w:pPr>
              <w:rPr>
                <w:rFonts w:ascii="Calibri" w:eastAsia="Times New Roman" w:hAnsi="Calibri" w:cs="Calibri"/>
                <w:color w:val="000000"/>
                <w:lang w:eastAsia="en-GB"/>
              </w:rPr>
            </w:pPr>
            <w:r w:rsidRPr="00C504CD">
              <w:rPr>
                <w:rFonts w:ascii="Calibri" w:eastAsia="Times New Roman" w:hAnsi="Calibri" w:cs="Calibri"/>
                <w:color w:val="000000"/>
                <w:lang w:eastAsia="en-GB"/>
              </w:rPr>
              <w:t>Landlord / agent makes application after six months of comme</w:t>
            </w:r>
            <w:r w:rsidR="00B01119">
              <w:rPr>
                <w:rFonts w:ascii="Calibri" w:eastAsia="Times New Roman" w:hAnsi="Calibri" w:cs="Calibri"/>
                <w:color w:val="000000"/>
                <w:lang w:eastAsia="en-GB"/>
              </w:rPr>
              <w:t xml:space="preserve">ncement date (one year licence) for </w:t>
            </w:r>
            <w:r w:rsidRPr="00C504CD">
              <w:rPr>
                <w:rFonts w:ascii="Calibri" w:eastAsia="Times New Roman" w:hAnsi="Calibri" w:cs="Calibri"/>
                <w:color w:val="000000"/>
                <w:lang w:eastAsia="en-GB"/>
              </w:rPr>
              <w:t>Yr2 found to be non-compliant renewed at higher rate. Yr 3 found to be compliant and converted to end of scheme</w:t>
            </w:r>
          </w:p>
        </w:tc>
        <w:tc>
          <w:tcPr>
            <w:tcW w:w="1417" w:type="dxa"/>
            <w:noWrap/>
            <w:hideMark/>
          </w:tcPr>
          <w:p w14:paraId="358EA496" w14:textId="77777777" w:rsidR="00236025" w:rsidRPr="00C504CD" w:rsidRDefault="00236025" w:rsidP="00815325">
            <w:pPr>
              <w:rPr>
                <w:rFonts w:ascii="Calibri" w:eastAsia="Times New Roman" w:hAnsi="Calibri" w:cs="Calibri"/>
                <w:color w:val="000000"/>
                <w:lang w:eastAsia="en-GB"/>
              </w:rPr>
            </w:pPr>
            <w:r>
              <w:rPr>
                <w:rFonts w:ascii="Calibri" w:eastAsia="Times New Roman" w:hAnsi="Calibri" w:cs="Calibri"/>
                <w:color w:val="000000"/>
                <w:lang w:eastAsia="en-GB"/>
              </w:rPr>
              <w:t>£</w:t>
            </w:r>
            <w:r w:rsidRPr="00C504CD">
              <w:rPr>
                <w:rFonts w:ascii="Calibri" w:eastAsia="Times New Roman" w:hAnsi="Calibri" w:cs="Calibri"/>
                <w:color w:val="000000"/>
                <w:lang w:eastAsia="en-GB"/>
              </w:rPr>
              <w:t>1,431</w:t>
            </w:r>
          </w:p>
        </w:tc>
        <w:tc>
          <w:tcPr>
            <w:tcW w:w="1650" w:type="dxa"/>
          </w:tcPr>
          <w:p w14:paraId="3C4CE329" w14:textId="77777777" w:rsidR="00236025" w:rsidRPr="00C504CD" w:rsidRDefault="00236025" w:rsidP="00815325">
            <w:pPr>
              <w:rPr>
                <w:rFonts w:ascii="Calibri" w:eastAsia="Times New Roman" w:hAnsi="Calibri" w:cs="Calibri"/>
                <w:color w:val="000000"/>
                <w:lang w:eastAsia="en-GB"/>
              </w:rPr>
            </w:pPr>
            <w:r w:rsidRPr="00C504CD">
              <w:rPr>
                <w:rFonts w:ascii="Calibri" w:eastAsia="Times New Roman" w:hAnsi="Calibri" w:cs="Calibri"/>
                <w:color w:val="000000"/>
                <w:lang w:eastAsia="en-GB"/>
              </w:rPr>
              <w:t>£204</w:t>
            </w:r>
          </w:p>
        </w:tc>
      </w:tr>
      <w:tr w:rsidR="00236025" w:rsidRPr="00C504CD" w14:paraId="4FABFDE3" w14:textId="77777777" w:rsidTr="00236025">
        <w:trPr>
          <w:trHeight w:val="1160"/>
        </w:trPr>
        <w:tc>
          <w:tcPr>
            <w:tcW w:w="1164" w:type="dxa"/>
            <w:noWrap/>
            <w:hideMark/>
          </w:tcPr>
          <w:p w14:paraId="3D2E2E28" w14:textId="77777777" w:rsidR="00236025" w:rsidRPr="00C504CD" w:rsidRDefault="00236025" w:rsidP="00815325">
            <w:pPr>
              <w:rPr>
                <w:rFonts w:ascii="Calibri" w:eastAsia="Times New Roman" w:hAnsi="Calibri" w:cs="Calibri"/>
                <w:color w:val="000000"/>
                <w:lang w:eastAsia="en-GB"/>
              </w:rPr>
            </w:pPr>
            <w:r w:rsidRPr="00C504CD">
              <w:rPr>
                <w:rFonts w:ascii="Calibri" w:eastAsia="Times New Roman" w:hAnsi="Calibri" w:cs="Calibri"/>
                <w:color w:val="000000"/>
                <w:lang w:eastAsia="en-GB"/>
              </w:rPr>
              <w:t>9</w:t>
            </w:r>
          </w:p>
        </w:tc>
        <w:tc>
          <w:tcPr>
            <w:tcW w:w="4785" w:type="dxa"/>
            <w:hideMark/>
          </w:tcPr>
          <w:p w14:paraId="2FAD8F45" w14:textId="77777777" w:rsidR="00236025" w:rsidRPr="00C504CD" w:rsidRDefault="00236025" w:rsidP="00815325">
            <w:pPr>
              <w:rPr>
                <w:rFonts w:ascii="Calibri" w:eastAsia="Times New Roman" w:hAnsi="Calibri" w:cs="Calibri"/>
                <w:color w:val="000000"/>
                <w:lang w:eastAsia="en-GB"/>
              </w:rPr>
            </w:pPr>
            <w:r w:rsidRPr="00C504CD">
              <w:rPr>
                <w:rFonts w:ascii="Calibri" w:eastAsia="Times New Roman" w:hAnsi="Calibri" w:cs="Calibri"/>
                <w:color w:val="000000"/>
                <w:lang w:eastAsia="en-GB"/>
              </w:rPr>
              <w:t>Landlord / agent makes application after six months of commencement date (one year licence). Yr2, Yr3, Yr 4 &amp; Yr5 found to be non-compliant renewed at higher rate.</w:t>
            </w:r>
          </w:p>
        </w:tc>
        <w:tc>
          <w:tcPr>
            <w:tcW w:w="1417" w:type="dxa"/>
            <w:noWrap/>
            <w:hideMark/>
          </w:tcPr>
          <w:p w14:paraId="305E22A2" w14:textId="77777777" w:rsidR="00236025" w:rsidRPr="00C504CD" w:rsidRDefault="00236025" w:rsidP="00815325">
            <w:pPr>
              <w:rPr>
                <w:rFonts w:ascii="Calibri" w:eastAsia="Times New Roman" w:hAnsi="Calibri" w:cs="Calibri"/>
                <w:color w:val="000000"/>
                <w:lang w:eastAsia="en-GB"/>
              </w:rPr>
            </w:pPr>
            <w:r>
              <w:rPr>
                <w:rFonts w:ascii="Calibri" w:eastAsia="Times New Roman" w:hAnsi="Calibri" w:cs="Calibri"/>
                <w:color w:val="000000"/>
                <w:lang w:eastAsia="en-GB"/>
              </w:rPr>
              <w:t>£</w:t>
            </w:r>
            <w:r w:rsidRPr="00C504CD">
              <w:rPr>
                <w:rFonts w:ascii="Calibri" w:eastAsia="Times New Roman" w:hAnsi="Calibri" w:cs="Calibri"/>
                <w:color w:val="000000"/>
                <w:lang w:eastAsia="en-GB"/>
              </w:rPr>
              <w:t>1,920</w:t>
            </w:r>
          </w:p>
        </w:tc>
        <w:tc>
          <w:tcPr>
            <w:tcW w:w="1650" w:type="dxa"/>
          </w:tcPr>
          <w:p w14:paraId="26636F27" w14:textId="77777777" w:rsidR="00236025" w:rsidRPr="00C504CD" w:rsidRDefault="00236025" w:rsidP="00815325">
            <w:pPr>
              <w:rPr>
                <w:rFonts w:ascii="Calibri" w:eastAsia="Times New Roman" w:hAnsi="Calibri" w:cs="Calibri"/>
                <w:color w:val="000000"/>
                <w:lang w:eastAsia="en-GB"/>
              </w:rPr>
            </w:pPr>
            <w:r w:rsidRPr="00C504CD">
              <w:rPr>
                <w:rFonts w:ascii="Calibri" w:eastAsia="Times New Roman" w:hAnsi="Calibri" w:cs="Calibri"/>
                <w:color w:val="000000"/>
                <w:lang w:eastAsia="en-GB"/>
              </w:rPr>
              <w:t>£384</w:t>
            </w:r>
          </w:p>
        </w:tc>
      </w:tr>
    </w:tbl>
    <w:p w14:paraId="1437DBB0" w14:textId="77777777" w:rsidR="005B14DF" w:rsidRDefault="005B14DF" w:rsidP="002C6787">
      <w:pPr>
        <w:rPr>
          <w:rFonts w:ascii="Arial" w:hAnsi="Arial" w:cs="Arial"/>
          <w:b/>
          <w:sz w:val="28"/>
          <w:szCs w:val="28"/>
        </w:rPr>
      </w:pPr>
    </w:p>
    <w:p w14:paraId="3DF3A9D5" w14:textId="77777777" w:rsidR="005B14DF" w:rsidRDefault="005B14DF">
      <w:pPr>
        <w:rPr>
          <w:rFonts w:ascii="Arial" w:hAnsi="Arial" w:cs="Arial"/>
          <w:b/>
          <w:sz w:val="28"/>
          <w:szCs w:val="28"/>
        </w:rPr>
      </w:pPr>
      <w:r>
        <w:rPr>
          <w:rFonts w:ascii="Arial" w:hAnsi="Arial" w:cs="Arial"/>
          <w:b/>
          <w:sz w:val="28"/>
          <w:szCs w:val="28"/>
        </w:rPr>
        <w:br w:type="page"/>
      </w:r>
    </w:p>
    <w:p w14:paraId="47C72160" w14:textId="77777777" w:rsidR="00236025" w:rsidRDefault="00236025" w:rsidP="002C6787">
      <w:pPr>
        <w:rPr>
          <w:rFonts w:ascii="Arial" w:hAnsi="Arial" w:cs="Arial"/>
          <w:b/>
          <w:sz w:val="28"/>
          <w:szCs w:val="28"/>
        </w:rPr>
      </w:pPr>
    </w:p>
    <w:p w14:paraId="51E07196" w14:textId="77777777" w:rsidR="003C33A9" w:rsidRDefault="003C33A9" w:rsidP="00295A25">
      <w:pPr>
        <w:rPr>
          <w:rFonts w:ascii="Arial" w:hAnsi="Arial" w:cs="Arial"/>
          <w:b/>
          <w:sz w:val="28"/>
          <w:szCs w:val="28"/>
        </w:rPr>
      </w:pPr>
      <w:r>
        <w:rPr>
          <w:rFonts w:ascii="Arial" w:hAnsi="Arial" w:cs="Arial"/>
          <w:b/>
          <w:sz w:val="28"/>
          <w:szCs w:val="28"/>
        </w:rPr>
        <w:t>Predicted Number of Licences</w:t>
      </w:r>
    </w:p>
    <w:p w14:paraId="7EB33BBE" w14:textId="04BBA123" w:rsidR="00295A25" w:rsidRPr="005B14DF" w:rsidRDefault="003C33A9" w:rsidP="00295A25">
      <w:pPr>
        <w:rPr>
          <w:rFonts w:ascii="Arial" w:hAnsi="Arial" w:cs="Arial"/>
          <w:b/>
        </w:rPr>
      </w:pPr>
      <w:r w:rsidRPr="00681045">
        <w:rPr>
          <w:rFonts w:ascii="Arial" w:hAnsi="Arial" w:cs="Arial"/>
          <w:sz w:val="24"/>
          <w:szCs w:val="24"/>
        </w:rPr>
        <w:t>A</w:t>
      </w:r>
      <w:r w:rsidR="00D26215" w:rsidRPr="005B14DF">
        <w:rPr>
          <w:rFonts w:ascii="Arial" w:hAnsi="Arial" w:cs="Arial"/>
        </w:rPr>
        <w:t xml:space="preserve">t this stage it is estimated that there will be </w:t>
      </w:r>
      <w:r w:rsidR="002C7B65" w:rsidRPr="005B14DF">
        <w:rPr>
          <w:rFonts w:ascii="Arial" w:hAnsi="Arial" w:cs="Arial"/>
        </w:rPr>
        <w:t>1</w:t>
      </w:r>
      <w:r w:rsidR="00295A25" w:rsidRPr="005B14DF">
        <w:rPr>
          <w:rFonts w:ascii="Arial" w:hAnsi="Arial" w:cs="Arial"/>
        </w:rPr>
        <w:t>2,000</w:t>
      </w:r>
      <w:r w:rsidR="00CC0C82" w:rsidRPr="005B14DF">
        <w:rPr>
          <w:rFonts w:ascii="Arial" w:hAnsi="Arial" w:cs="Arial"/>
        </w:rPr>
        <w:t xml:space="preserve"> pr</w:t>
      </w:r>
      <w:r w:rsidR="00815851" w:rsidRPr="005B14DF">
        <w:rPr>
          <w:rFonts w:ascii="Arial" w:hAnsi="Arial" w:cs="Arial"/>
        </w:rPr>
        <w:t>ivate sector properties</w:t>
      </w:r>
      <w:r w:rsidR="00D26215" w:rsidRPr="005B14DF">
        <w:rPr>
          <w:rFonts w:ascii="Arial" w:hAnsi="Arial" w:cs="Arial"/>
        </w:rPr>
        <w:t xml:space="preserve"> requiring a licence and it is likely, based on similar schemes that </w:t>
      </w:r>
      <w:r w:rsidR="00815851" w:rsidRPr="005B14DF">
        <w:rPr>
          <w:rFonts w:ascii="Arial" w:hAnsi="Arial" w:cs="Arial"/>
        </w:rPr>
        <w:t xml:space="preserve">around </w:t>
      </w:r>
      <w:r w:rsidR="00815851" w:rsidRPr="003C33A9">
        <w:rPr>
          <w:rFonts w:ascii="Arial" w:hAnsi="Arial" w:cs="Arial"/>
        </w:rPr>
        <w:t>80%</w:t>
      </w:r>
      <w:r w:rsidR="00815851" w:rsidRPr="005B14DF">
        <w:rPr>
          <w:rFonts w:ascii="Arial" w:hAnsi="Arial" w:cs="Arial"/>
        </w:rPr>
        <w:t xml:space="preserve"> </w:t>
      </w:r>
      <w:r w:rsidR="00D26215" w:rsidRPr="005B14DF">
        <w:rPr>
          <w:rFonts w:ascii="Arial" w:hAnsi="Arial" w:cs="Arial"/>
        </w:rPr>
        <w:t xml:space="preserve">will be </w:t>
      </w:r>
      <w:r>
        <w:rPr>
          <w:rFonts w:ascii="Arial" w:hAnsi="Arial" w:cs="Arial"/>
        </w:rPr>
        <w:t xml:space="preserve">issued a licence throughout the 5 year scheme. </w:t>
      </w:r>
      <w:r w:rsidR="00815851" w:rsidRPr="005B14DF">
        <w:rPr>
          <w:rFonts w:ascii="Arial" w:hAnsi="Arial" w:cs="Arial"/>
        </w:rPr>
        <w:t>Assuming a similar result</w:t>
      </w:r>
      <w:r w:rsidR="00DA7A58" w:rsidRPr="005B14DF">
        <w:rPr>
          <w:rFonts w:ascii="Arial" w:hAnsi="Arial" w:cs="Arial"/>
        </w:rPr>
        <w:t xml:space="preserve"> for Oxford City Council</w:t>
      </w:r>
      <w:r w:rsidR="00815851" w:rsidRPr="005B14DF">
        <w:rPr>
          <w:rFonts w:ascii="Arial" w:hAnsi="Arial" w:cs="Arial"/>
        </w:rPr>
        <w:t xml:space="preserve">, </w:t>
      </w:r>
      <w:r w:rsidR="00DA7A58" w:rsidRPr="005B14DF">
        <w:rPr>
          <w:rFonts w:ascii="Arial" w:hAnsi="Arial" w:cs="Arial"/>
        </w:rPr>
        <w:t xml:space="preserve">then </w:t>
      </w:r>
      <w:r w:rsidR="00815851" w:rsidRPr="005B14DF">
        <w:rPr>
          <w:rFonts w:ascii="Arial" w:hAnsi="Arial" w:cs="Arial"/>
        </w:rPr>
        <w:t xml:space="preserve">around 10,000 properties would be licensed by the end of the scheme. </w:t>
      </w:r>
      <w:r w:rsidR="00D26215" w:rsidRPr="005B14DF">
        <w:rPr>
          <w:rFonts w:ascii="Arial" w:hAnsi="Arial" w:cs="Arial"/>
        </w:rPr>
        <w:t xml:space="preserve">This will be kept under review as the scheme progresses and resources and therefore fees will be adjusted accordingly. </w:t>
      </w:r>
    </w:p>
    <w:p w14:paraId="3D07D6C5" w14:textId="77777777" w:rsidR="002C7B65" w:rsidRPr="005B14DF" w:rsidRDefault="002C7B65" w:rsidP="00295A25">
      <w:pPr>
        <w:rPr>
          <w:rFonts w:ascii="Arial" w:hAnsi="Arial" w:cs="Arial"/>
          <w:b/>
          <w:sz w:val="28"/>
          <w:szCs w:val="28"/>
        </w:rPr>
      </w:pPr>
      <w:r w:rsidRPr="005B14DF">
        <w:rPr>
          <w:rFonts w:ascii="Arial" w:hAnsi="Arial" w:cs="Arial"/>
          <w:b/>
          <w:sz w:val="28"/>
          <w:szCs w:val="28"/>
        </w:rPr>
        <w:t>Income and cost assessment</w:t>
      </w:r>
    </w:p>
    <w:p w14:paraId="70C70906" w14:textId="77777777" w:rsidR="00AD75FA" w:rsidRPr="005B14DF" w:rsidRDefault="00815851" w:rsidP="00815851">
      <w:pPr>
        <w:rPr>
          <w:rFonts w:ascii="Arial" w:hAnsi="Arial" w:cs="Arial"/>
        </w:rPr>
      </w:pPr>
      <w:r w:rsidRPr="005B14DF">
        <w:rPr>
          <w:rFonts w:ascii="Arial" w:hAnsi="Arial" w:cs="Arial"/>
        </w:rPr>
        <w:t xml:space="preserve">A review of HMO properties has established 1/3 are managed by agents belonging to a national recognised scheme and it is assumed a similar proportion of rented family homes are also managed by agents. </w:t>
      </w:r>
      <w:r w:rsidR="00D26215" w:rsidRPr="005B14DF">
        <w:rPr>
          <w:rFonts w:ascii="Arial" w:hAnsi="Arial" w:cs="Arial"/>
        </w:rPr>
        <w:t xml:space="preserve">However this may be a low estimate and fees may have to be adjusted to meet demands part way through the scheme. </w:t>
      </w:r>
    </w:p>
    <w:p w14:paraId="1EB213A2" w14:textId="2A0990DA" w:rsidR="00815851" w:rsidRPr="005B14DF" w:rsidRDefault="000D7255" w:rsidP="00815851">
      <w:pPr>
        <w:rPr>
          <w:rFonts w:ascii="Arial" w:hAnsi="Arial" w:cs="Arial"/>
        </w:rPr>
      </w:pPr>
      <w:r w:rsidRPr="005B14DF">
        <w:rPr>
          <w:rFonts w:ascii="Arial" w:hAnsi="Arial" w:cs="Arial"/>
        </w:rPr>
        <w:t xml:space="preserve">The vast majority of the applications will be received in the first year and income projection has been based on </w:t>
      </w:r>
      <w:r w:rsidR="00AA200F">
        <w:rPr>
          <w:rFonts w:ascii="Arial" w:hAnsi="Arial" w:cs="Arial"/>
        </w:rPr>
        <w:t xml:space="preserve">75% of </w:t>
      </w:r>
      <w:r w:rsidRPr="005B14DF">
        <w:rPr>
          <w:rFonts w:ascii="Arial" w:hAnsi="Arial" w:cs="Arial"/>
        </w:rPr>
        <w:t xml:space="preserve">applications received in year 1, around 7,200 applications. Of these applications, it is </w:t>
      </w:r>
      <w:r w:rsidR="00815851" w:rsidRPr="005B14DF">
        <w:rPr>
          <w:rFonts w:ascii="Arial" w:hAnsi="Arial" w:cs="Arial"/>
        </w:rPr>
        <w:t>estimate</w:t>
      </w:r>
      <w:r w:rsidRPr="005B14DF">
        <w:rPr>
          <w:rFonts w:ascii="Arial" w:hAnsi="Arial" w:cs="Arial"/>
        </w:rPr>
        <w:t>d</w:t>
      </w:r>
      <w:r w:rsidR="00815851" w:rsidRPr="005B14DF">
        <w:rPr>
          <w:rFonts w:ascii="Arial" w:hAnsi="Arial" w:cs="Arial"/>
        </w:rPr>
        <w:t xml:space="preserve"> that 50% applications will fall into the “accreditation and early bird” discount and a further 25% will fall under the “early bi</w:t>
      </w:r>
      <w:r w:rsidRPr="005B14DF">
        <w:rPr>
          <w:rFonts w:ascii="Arial" w:hAnsi="Arial" w:cs="Arial"/>
        </w:rPr>
        <w:t>rd” discount. Approximately 3,000 applications will be received in later years, at a higher fee.</w:t>
      </w:r>
      <w:r w:rsidR="003420D4" w:rsidRPr="005B14DF">
        <w:rPr>
          <w:rFonts w:ascii="Arial" w:hAnsi="Arial" w:cs="Arial"/>
        </w:rPr>
        <w:t xml:space="preserve"> </w:t>
      </w:r>
      <w:r w:rsidR="00C10318" w:rsidRPr="005B14DF">
        <w:rPr>
          <w:rFonts w:ascii="Arial" w:hAnsi="Arial" w:cs="Arial"/>
        </w:rPr>
        <w:t xml:space="preserve">Application and fee income projections are </w:t>
      </w:r>
      <w:r w:rsidR="003420D4" w:rsidRPr="005B14DF">
        <w:rPr>
          <w:rFonts w:ascii="Arial" w:hAnsi="Arial" w:cs="Arial"/>
        </w:rPr>
        <w:t>outlined in T</w:t>
      </w:r>
      <w:r w:rsidR="00C4482A" w:rsidRPr="005B14DF">
        <w:rPr>
          <w:rFonts w:ascii="Arial" w:hAnsi="Arial" w:cs="Arial"/>
        </w:rPr>
        <w:t xml:space="preserve">able 5 </w:t>
      </w:r>
    </w:p>
    <w:p w14:paraId="30A7E96C" w14:textId="0D8DDE11" w:rsidR="00C233DA" w:rsidRPr="005B14DF" w:rsidRDefault="000D7255" w:rsidP="00295A25">
      <w:pPr>
        <w:rPr>
          <w:rFonts w:ascii="Calibri" w:eastAsia="Times New Roman" w:hAnsi="Calibri" w:cs="Calibri"/>
          <w:b/>
          <w:bCs/>
          <w:color w:val="000000"/>
          <w:lang w:eastAsia="en-GB"/>
        </w:rPr>
      </w:pPr>
      <w:r w:rsidRPr="005B14DF">
        <w:rPr>
          <w:rFonts w:ascii="Arial" w:hAnsi="Arial" w:cs="Arial"/>
        </w:rPr>
        <w:t>Based on the licence fees above and the assumed application projections, t</w:t>
      </w:r>
      <w:r w:rsidR="00C233DA" w:rsidRPr="005B14DF">
        <w:rPr>
          <w:rFonts w:ascii="Arial" w:hAnsi="Arial" w:cs="Arial"/>
        </w:rPr>
        <w:t xml:space="preserve">he income generated by </w:t>
      </w:r>
      <w:r w:rsidRPr="005B14DF">
        <w:rPr>
          <w:rFonts w:ascii="Arial" w:hAnsi="Arial" w:cs="Arial"/>
        </w:rPr>
        <w:t xml:space="preserve">the scheme is estimated to be approximately </w:t>
      </w:r>
      <w:r w:rsidR="00C10318" w:rsidRPr="005B14DF">
        <w:rPr>
          <w:rFonts w:ascii="Arial" w:hAnsi="Arial" w:cs="Arial"/>
          <w:b/>
          <w:bCs/>
        </w:rPr>
        <w:t xml:space="preserve">£6,666,735. </w:t>
      </w:r>
      <w:r w:rsidR="00C233DA" w:rsidRPr="005B14DF">
        <w:rPr>
          <w:rFonts w:ascii="Arial" w:hAnsi="Arial" w:cs="Arial"/>
        </w:rPr>
        <w:t>The scheme must be self</w:t>
      </w:r>
      <w:r w:rsidR="003C33A9">
        <w:rPr>
          <w:rFonts w:ascii="Arial" w:hAnsi="Arial" w:cs="Arial"/>
        </w:rPr>
        <w:t>-</w:t>
      </w:r>
      <w:r w:rsidR="00C233DA" w:rsidRPr="005B14DF">
        <w:rPr>
          <w:rFonts w:ascii="Arial" w:hAnsi="Arial" w:cs="Arial"/>
        </w:rPr>
        <w:t>financing. The fees can only be used for selective licensing and are not income</w:t>
      </w:r>
      <w:r w:rsidR="003C33A9">
        <w:rPr>
          <w:rFonts w:ascii="Arial" w:hAnsi="Arial" w:cs="Arial"/>
        </w:rPr>
        <w:t xml:space="preserve"> </w:t>
      </w:r>
      <w:r w:rsidR="00C233DA" w:rsidRPr="005B14DF">
        <w:rPr>
          <w:rFonts w:ascii="Arial" w:hAnsi="Arial" w:cs="Arial"/>
        </w:rPr>
        <w:t xml:space="preserve">generation for other council activities. The </w:t>
      </w:r>
      <w:r w:rsidR="00F620F6" w:rsidRPr="005B14DF">
        <w:rPr>
          <w:rFonts w:ascii="Arial" w:hAnsi="Arial" w:cs="Arial"/>
        </w:rPr>
        <w:t xml:space="preserve">total </w:t>
      </w:r>
      <w:r w:rsidR="00037EA4" w:rsidRPr="005B14DF">
        <w:rPr>
          <w:rFonts w:ascii="Arial" w:hAnsi="Arial" w:cs="Arial"/>
        </w:rPr>
        <w:t xml:space="preserve">costs are estimated to be </w:t>
      </w:r>
      <w:r w:rsidR="00037EA4" w:rsidRPr="005B14DF">
        <w:rPr>
          <w:rFonts w:ascii="Arial" w:hAnsi="Arial" w:cs="Arial"/>
          <w:b/>
        </w:rPr>
        <w:t>£6,</w:t>
      </w:r>
      <w:r w:rsidR="001E0311">
        <w:rPr>
          <w:rFonts w:ascii="Arial" w:hAnsi="Arial" w:cs="Arial"/>
          <w:b/>
        </w:rPr>
        <w:t>670,074</w:t>
      </w:r>
      <w:r w:rsidR="004B06DF">
        <w:rPr>
          <w:rFonts w:ascii="Arial" w:hAnsi="Arial" w:cs="Arial"/>
          <w:b/>
        </w:rPr>
        <w:t xml:space="preserve">, </w:t>
      </w:r>
      <w:r w:rsidR="004B06DF" w:rsidRPr="003D3C2D">
        <w:rPr>
          <w:rFonts w:ascii="Arial" w:hAnsi="Arial" w:cs="Arial"/>
        </w:rPr>
        <w:t>these include staffing, ICT requirements, training and the provision of landlord information</w:t>
      </w:r>
      <w:r w:rsidR="003D3C2D">
        <w:rPr>
          <w:rFonts w:ascii="Arial" w:hAnsi="Arial" w:cs="Arial"/>
        </w:rPr>
        <w:t xml:space="preserve"> see Table 6 </w:t>
      </w:r>
      <w:r w:rsidR="004B06DF">
        <w:rPr>
          <w:rFonts w:ascii="Arial" w:hAnsi="Arial" w:cs="Arial"/>
          <w:b/>
        </w:rPr>
        <w:t xml:space="preserve">  </w:t>
      </w:r>
    </w:p>
    <w:p w14:paraId="34B29739" w14:textId="77777777" w:rsidR="00E12761" w:rsidRPr="005B14DF" w:rsidRDefault="00C233DA">
      <w:pPr>
        <w:rPr>
          <w:rFonts w:ascii="Arial" w:hAnsi="Arial" w:cs="Arial"/>
        </w:rPr>
      </w:pPr>
      <w:r w:rsidRPr="005B14DF">
        <w:rPr>
          <w:rFonts w:ascii="Arial" w:hAnsi="Arial" w:cs="Arial"/>
        </w:rPr>
        <w:t>.</w:t>
      </w:r>
    </w:p>
    <w:p w14:paraId="42602805" w14:textId="77777777" w:rsidR="00204C26" w:rsidRDefault="00204C26" w:rsidP="00295A25">
      <w:pPr>
        <w:rPr>
          <w:rFonts w:ascii="Arial" w:hAnsi="Arial" w:cs="Arial"/>
          <w:sz w:val="24"/>
          <w:szCs w:val="24"/>
        </w:rPr>
        <w:sectPr w:rsidR="00204C26">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pPr>
    </w:p>
    <w:p w14:paraId="7DEC1823" w14:textId="77777777" w:rsidR="00E12761" w:rsidRDefault="00E12761" w:rsidP="00295A25">
      <w:pPr>
        <w:rPr>
          <w:rFonts w:ascii="Arial" w:hAnsi="Arial" w:cs="Arial"/>
          <w:sz w:val="24"/>
          <w:szCs w:val="24"/>
        </w:rPr>
      </w:pPr>
    </w:p>
    <w:p w14:paraId="6566EC20" w14:textId="77777777" w:rsidR="00C233DA" w:rsidRDefault="00C10318" w:rsidP="00295A25">
      <w:pPr>
        <w:rPr>
          <w:rFonts w:ascii="Arial" w:hAnsi="Arial" w:cs="Arial"/>
          <w:sz w:val="24"/>
          <w:szCs w:val="24"/>
        </w:rPr>
      </w:pPr>
      <w:r>
        <w:rPr>
          <w:noProof/>
          <w:lang w:eastAsia="en-GB"/>
        </w:rPr>
        <w:drawing>
          <wp:inline distT="0" distB="0" distL="0" distR="0" wp14:anchorId="7AB0B1C7" wp14:editId="1558EFD9">
            <wp:extent cx="8863330" cy="2933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8863330" cy="2933700"/>
                    </a:xfrm>
                    <a:prstGeom prst="rect">
                      <a:avLst/>
                    </a:prstGeom>
                  </pic:spPr>
                </pic:pic>
              </a:graphicData>
            </a:graphic>
          </wp:inline>
        </w:drawing>
      </w:r>
    </w:p>
    <w:p w14:paraId="48CE048D" w14:textId="77777777" w:rsidR="004B06DF" w:rsidRDefault="004B06DF">
      <w:pPr>
        <w:rPr>
          <w:rFonts w:ascii="Arial" w:hAnsi="Arial" w:cs="Arial"/>
          <w:sz w:val="24"/>
          <w:szCs w:val="24"/>
        </w:rPr>
      </w:pPr>
    </w:p>
    <w:p w14:paraId="40B43A00" w14:textId="709252AD" w:rsidR="00145220" w:rsidRPr="003D3C2D" w:rsidRDefault="004B06DF" w:rsidP="00295A25">
      <w:pPr>
        <w:rPr>
          <w:rFonts w:ascii="Arial" w:hAnsi="Arial" w:cs="Arial"/>
          <w:b/>
          <w:sz w:val="24"/>
          <w:szCs w:val="24"/>
        </w:rPr>
      </w:pPr>
      <w:r w:rsidRPr="003D3C2D">
        <w:rPr>
          <w:rFonts w:ascii="Arial" w:hAnsi="Arial" w:cs="Arial"/>
          <w:b/>
          <w:sz w:val="24"/>
          <w:szCs w:val="24"/>
        </w:rPr>
        <w:t xml:space="preserve">Table 6 – Income and cost breakdown per year </w:t>
      </w:r>
    </w:p>
    <w:tbl>
      <w:tblPr>
        <w:tblStyle w:val="TableGrid"/>
        <w:tblW w:w="0" w:type="auto"/>
        <w:tblLook w:val="04A0" w:firstRow="1" w:lastRow="0" w:firstColumn="1" w:lastColumn="0" w:noHBand="0" w:noVBand="1"/>
      </w:tblPr>
      <w:tblGrid>
        <w:gridCol w:w="2324"/>
        <w:gridCol w:w="1418"/>
        <w:gridCol w:w="1640"/>
        <w:gridCol w:w="1701"/>
        <w:gridCol w:w="1701"/>
        <w:gridCol w:w="1701"/>
        <w:gridCol w:w="1701"/>
      </w:tblGrid>
      <w:tr w:rsidR="004B06DF" w:rsidRPr="004B06DF" w14:paraId="68387EDC" w14:textId="77777777" w:rsidTr="003D3C2D">
        <w:tc>
          <w:tcPr>
            <w:tcW w:w="2324" w:type="dxa"/>
            <w:shd w:val="clear" w:color="auto" w:fill="BFBFBF" w:themeFill="background1" w:themeFillShade="BF"/>
          </w:tcPr>
          <w:p w14:paraId="0185C4A5" w14:textId="585E44C0" w:rsidR="004B06DF" w:rsidRPr="003D3C2D" w:rsidRDefault="004B06DF" w:rsidP="004B06DF">
            <w:pPr>
              <w:autoSpaceDE w:val="0"/>
              <w:autoSpaceDN w:val="0"/>
              <w:adjustRightInd w:val="0"/>
              <w:rPr>
                <w:rFonts w:ascii="Arial" w:hAnsi="Arial" w:cs="Arial"/>
                <w:b/>
                <w:sz w:val="24"/>
                <w:szCs w:val="24"/>
                <w:highlight w:val="lightGray"/>
              </w:rPr>
            </w:pPr>
            <w:r w:rsidRPr="003D3C2D">
              <w:rPr>
                <w:rFonts w:ascii="Arial" w:hAnsi="Arial" w:cs="Arial"/>
                <w:b/>
                <w:sz w:val="24"/>
                <w:szCs w:val="24"/>
                <w:highlight w:val="lightGray"/>
              </w:rPr>
              <w:t>Year</w:t>
            </w:r>
          </w:p>
        </w:tc>
        <w:tc>
          <w:tcPr>
            <w:tcW w:w="1418" w:type="dxa"/>
            <w:shd w:val="clear" w:color="auto" w:fill="BFBFBF" w:themeFill="background1" w:themeFillShade="BF"/>
          </w:tcPr>
          <w:p w14:paraId="03D59C40" w14:textId="025B8507" w:rsidR="004B06DF" w:rsidRPr="003D3C2D" w:rsidRDefault="004B06DF" w:rsidP="004B06DF">
            <w:pPr>
              <w:autoSpaceDE w:val="0"/>
              <w:autoSpaceDN w:val="0"/>
              <w:adjustRightInd w:val="0"/>
              <w:rPr>
                <w:rFonts w:ascii="Arial" w:hAnsi="Arial" w:cs="Arial"/>
                <w:b/>
                <w:sz w:val="24"/>
                <w:szCs w:val="24"/>
                <w:highlight w:val="lightGray"/>
              </w:rPr>
            </w:pPr>
            <w:r w:rsidRPr="003D3C2D">
              <w:rPr>
                <w:rFonts w:ascii="Arial" w:hAnsi="Arial" w:cs="Arial"/>
                <w:b/>
                <w:sz w:val="24"/>
                <w:szCs w:val="24"/>
                <w:highlight w:val="lightGray"/>
              </w:rPr>
              <w:t>1</w:t>
            </w:r>
          </w:p>
        </w:tc>
        <w:tc>
          <w:tcPr>
            <w:tcW w:w="1640" w:type="dxa"/>
            <w:shd w:val="clear" w:color="auto" w:fill="BFBFBF" w:themeFill="background1" w:themeFillShade="BF"/>
          </w:tcPr>
          <w:p w14:paraId="34D80078" w14:textId="0C0B1AC3" w:rsidR="004B06DF" w:rsidRPr="003D3C2D" w:rsidRDefault="004B06DF" w:rsidP="004B06DF">
            <w:pPr>
              <w:autoSpaceDE w:val="0"/>
              <w:autoSpaceDN w:val="0"/>
              <w:adjustRightInd w:val="0"/>
              <w:rPr>
                <w:rFonts w:ascii="Arial" w:hAnsi="Arial" w:cs="Arial"/>
                <w:b/>
                <w:sz w:val="24"/>
                <w:szCs w:val="24"/>
                <w:highlight w:val="lightGray"/>
              </w:rPr>
            </w:pPr>
            <w:r w:rsidRPr="003D3C2D">
              <w:rPr>
                <w:rFonts w:ascii="Arial" w:hAnsi="Arial" w:cs="Arial"/>
                <w:b/>
                <w:sz w:val="24"/>
                <w:szCs w:val="24"/>
                <w:highlight w:val="lightGray"/>
              </w:rPr>
              <w:t>2</w:t>
            </w:r>
          </w:p>
        </w:tc>
        <w:tc>
          <w:tcPr>
            <w:tcW w:w="1701" w:type="dxa"/>
            <w:shd w:val="clear" w:color="auto" w:fill="BFBFBF" w:themeFill="background1" w:themeFillShade="BF"/>
          </w:tcPr>
          <w:p w14:paraId="5D96C9ED" w14:textId="210E6DAE" w:rsidR="004B06DF" w:rsidRPr="003D3C2D" w:rsidRDefault="004B06DF" w:rsidP="004B06DF">
            <w:pPr>
              <w:autoSpaceDE w:val="0"/>
              <w:autoSpaceDN w:val="0"/>
              <w:adjustRightInd w:val="0"/>
              <w:rPr>
                <w:rFonts w:ascii="Arial" w:hAnsi="Arial" w:cs="Arial"/>
                <w:b/>
                <w:sz w:val="24"/>
                <w:szCs w:val="24"/>
                <w:highlight w:val="lightGray"/>
              </w:rPr>
            </w:pPr>
            <w:r w:rsidRPr="003D3C2D">
              <w:rPr>
                <w:rFonts w:ascii="Arial" w:hAnsi="Arial" w:cs="Arial"/>
                <w:b/>
                <w:sz w:val="24"/>
                <w:szCs w:val="24"/>
                <w:highlight w:val="lightGray"/>
              </w:rPr>
              <w:t>3</w:t>
            </w:r>
          </w:p>
        </w:tc>
        <w:tc>
          <w:tcPr>
            <w:tcW w:w="1701" w:type="dxa"/>
            <w:shd w:val="clear" w:color="auto" w:fill="BFBFBF" w:themeFill="background1" w:themeFillShade="BF"/>
          </w:tcPr>
          <w:p w14:paraId="5F6456A2" w14:textId="71E4BDF2" w:rsidR="004B06DF" w:rsidRPr="003D3C2D" w:rsidRDefault="004B06DF" w:rsidP="004B06DF">
            <w:pPr>
              <w:autoSpaceDE w:val="0"/>
              <w:autoSpaceDN w:val="0"/>
              <w:adjustRightInd w:val="0"/>
              <w:rPr>
                <w:rFonts w:ascii="Arial" w:hAnsi="Arial" w:cs="Arial"/>
                <w:b/>
                <w:sz w:val="24"/>
                <w:szCs w:val="24"/>
                <w:highlight w:val="lightGray"/>
              </w:rPr>
            </w:pPr>
            <w:r w:rsidRPr="003D3C2D">
              <w:rPr>
                <w:rFonts w:ascii="Arial" w:hAnsi="Arial" w:cs="Arial"/>
                <w:b/>
                <w:sz w:val="24"/>
                <w:szCs w:val="24"/>
                <w:highlight w:val="lightGray"/>
              </w:rPr>
              <w:t>4</w:t>
            </w:r>
          </w:p>
        </w:tc>
        <w:tc>
          <w:tcPr>
            <w:tcW w:w="1701" w:type="dxa"/>
            <w:shd w:val="clear" w:color="auto" w:fill="BFBFBF" w:themeFill="background1" w:themeFillShade="BF"/>
          </w:tcPr>
          <w:p w14:paraId="7CCD6AD7" w14:textId="5FC14786" w:rsidR="004B06DF" w:rsidRPr="003D3C2D" w:rsidRDefault="004B06DF" w:rsidP="004B06DF">
            <w:pPr>
              <w:autoSpaceDE w:val="0"/>
              <w:autoSpaceDN w:val="0"/>
              <w:adjustRightInd w:val="0"/>
              <w:rPr>
                <w:rFonts w:ascii="Arial" w:hAnsi="Arial" w:cs="Arial"/>
                <w:b/>
                <w:sz w:val="24"/>
                <w:szCs w:val="24"/>
                <w:highlight w:val="lightGray"/>
              </w:rPr>
            </w:pPr>
            <w:r w:rsidRPr="003D3C2D">
              <w:rPr>
                <w:rFonts w:ascii="Arial" w:hAnsi="Arial" w:cs="Arial"/>
                <w:b/>
                <w:sz w:val="24"/>
                <w:szCs w:val="24"/>
                <w:highlight w:val="lightGray"/>
              </w:rPr>
              <w:t>5</w:t>
            </w:r>
          </w:p>
        </w:tc>
        <w:tc>
          <w:tcPr>
            <w:tcW w:w="1701" w:type="dxa"/>
            <w:shd w:val="clear" w:color="auto" w:fill="BFBFBF" w:themeFill="background1" w:themeFillShade="BF"/>
          </w:tcPr>
          <w:p w14:paraId="6F88A540" w14:textId="69B0B519" w:rsidR="004B06DF" w:rsidRPr="003D3C2D" w:rsidRDefault="004B06DF" w:rsidP="004B06DF">
            <w:pPr>
              <w:autoSpaceDE w:val="0"/>
              <w:autoSpaceDN w:val="0"/>
              <w:adjustRightInd w:val="0"/>
              <w:rPr>
                <w:rFonts w:ascii="Arial" w:hAnsi="Arial" w:cs="Arial"/>
                <w:b/>
                <w:sz w:val="24"/>
                <w:szCs w:val="24"/>
              </w:rPr>
            </w:pPr>
            <w:r w:rsidRPr="003D3C2D">
              <w:rPr>
                <w:rFonts w:ascii="Arial" w:hAnsi="Arial" w:cs="Arial"/>
                <w:b/>
                <w:sz w:val="24"/>
                <w:szCs w:val="24"/>
                <w:highlight w:val="lightGray"/>
              </w:rPr>
              <w:t>Total</w:t>
            </w:r>
            <w:r w:rsidRPr="003D3C2D">
              <w:rPr>
                <w:rFonts w:ascii="Arial" w:hAnsi="Arial" w:cs="Arial"/>
                <w:b/>
                <w:sz w:val="24"/>
                <w:szCs w:val="24"/>
              </w:rPr>
              <w:t xml:space="preserve"> </w:t>
            </w:r>
          </w:p>
        </w:tc>
      </w:tr>
      <w:tr w:rsidR="004B06DF" w14:paraId="19ED74EC" w14:textId="77777777" w:rsidTr="003D3C2D">
        <w:tc>
          <w:tcPr>
            <w:tcW w:w="2324" w:type="dxa"/>
            <w:shd w:val="clear" w:color="auto" w:fill="BFBFBF" w:themeFill="background1" w:themeFillShade="BF"/>
          </w:tcPr>
          <w:p w14:paraId="5A67AC71" w14:textId="338054B7" w:rsidR="004B06DF" w:rsidRPr="003D3C2D" w:rsidRDefault="004B06DF" w:rsidP="004B06DF">
            <w:pPr>
              <w:autoSpaceDE w:val="0"/>
              <w:autoSpaceDN w:val="0"/>
              <w:adjustRightInd w:val="0"/>
              <w:rPr>
                <w:rFonts w:ascii="Arial" w:hAnsi="Arial" w:cs="Arial"/>
                <w:b/>
                <w:sz w:val="24"/>
                <w:szCs w:val="24"/>
              </w:rPr>
            </w:pPr>
            <w:r w:rsidRPr="003D3C2D">
              <w:rPr>
                <w:rFonts w:ascii="Arial" w:hAnsi="Arial" w:cs="Arial"/>
                <w:b/>
                <w:sz w:val="24"/>
                <w:szCs w:val="24"/>
              </w:rPr>
              <w:t>Income</w:t>
            </w:r>
          </w:p>
        </w:tc>
        <w:tc>
          <w:tcPr>
            <w:tcW w:w="1418" w:type="dxa"/>
          </w:tcPr>
          <w:p w14:paraId="564F41D1" w14:textId="051DA822" w:rsidR="004B06DF" w:rsidRDefault="004B06DF" w:rsidP="004B06DF">
            <w:pPr>
              <w:autoSpaceDE w:val="0"/>
              <w:autoSpaceDN w:val="0"/>
              <w:adjustRightInd w:val="0"/>
              <w:rPr>
                <w:rFonts w:ascii="Arial" w:hAnsi="Arial" w:cs="Arial"/>
                <w:sz w:val="24"/>
                <w:szCs w:val="24"/>
              </w:rPr>
            </w:pPr>
            <w:r>
              <w:rPr>
                <w:rFonts w:ascii="Arial" w:hAnsi="Arial" w:cs="Arial"/>
                <w:sz w:val="24"/>
                <w:szCs w:val="24"/>
              </w:rPr>
              <w:t>£3,110,400</w:t>
            </w:r>
          </w:p>
        </w:tc>
        <w:tc>
          <w:tcPr>
            <w:tcW w:w="1640" w:type="dxa"/>
          </w:tcPr>
          <w:p w14:paraId="399CD5CE" w14:textId="637624A7" w:rsidR="004B06DF" w:rsidRDefault="004B06DF" w:rsidP="004B06DF">
            <w:pPr>
              <w:autoSpaceDE w:val="0"/>
              <w:autoSpaceDN w:val="0"/>
              <w:adjustRightInd w:val="0"/>
              <w:rPr>
                <w:rFonts w:ascii="Arial" w:hAnsi="Arial" w:cs="Arial"/>
                <w:sz w:val="24"/>
                <w:szCs w:val="24"/>
              </w:rPr>
            </w:pPr>
            <w:r>
              <w:rPr>
                <w:rFonts w:ascii="Arial" w:hAnsi="Arial" w:cs="Arial"/>
                <w:sz w:val="24"/>
                <w:szCs w:val="24"/>
              </w:rPr>
              <w:t>£1,250,253</w:t>
            </w:r>
          </w:p>
        </w:tc>
        <w:tc>
          <w:tcPr>
            <w:tcW w:w="1701" w:type="dxa"/>
          </w:tcPr>
          <w:p w14:paraId="50C3025F" w14:textId="46690E22" w:rsidR="004B06DF" w:rsidRDefault="004B06DF" w:rsidP="004B06DF">
            <w:pPr>
              <w:autoSpaceDE w:val="0"/>
              <w:autoSpaceDN w:val="0"/>
              <w:adjustRightInd w:val="0"/>
              <w:rPr>
                <w:rFonts w:ascii="Arial" w:hAnsi="Arial" w:cs="Arial"/>
                <w:sz w:val="24"/>
                <w:szCs w:val="24"/>
              </w:rPr>
            </w:pPr>
            <w:r>
              <w:rPr>
                <w:rFonts w:ascii="Arial" w:hAnsi="Arial" w:cs="Arial"/>
                <w:sz w:val="24"/>
                <w:szCs w:val="24"/>
              </w:rPr>
              <w:t>£1,033,347</w:t>
            </w:r>
          </w:p>
        </w:tc>
        <w:tc>
          <w:tcPr>
            <w:tcW w:w="1701" w:type="dxa"/>
          </w:tcPr>
          <w:p w14:paraId="1DB4FD75" w14:textId="6F57E146" w:rsidR="004B06DF" w:rsidRDefault="004B06DF" w:rsidP="004B06DF">
            <w:pPr>
              <w:autoSpaceDE w:val="0"/>
              <w:autoSpaceDN w:val="0"/>
              <w:adjustRightInd w:val="0"/>
              <w:rPr>
                <w:rFonts w:ascii="Arial" w:hAnsi="Arial" w:cs="Arial"/>
                <w:sz w:val="24"/>
                <w:szCs w:val="24"/>
              </w:rPr>
            </w:pPr>
            <w:r>
              <w:rPr>
                <w:rFonts w:ascii="Arial" w:hAnsi="Arial" w:cs="Arial"/>
                <w:sz w:val="24"/>
                <w:szCs w:val="24"/>
              </w:rPr>
              <w:t>£831,032</w:t>
            </w:r>
          </w:p>
        </w:tc>
        <w:tc>
          <w:tcPr>
            <w:tcW w:w="1701" w:type="dxa"/>
          </w:tcPr>
          <w:p w14:paraId="643EDBBD" w14:textId="14E1CCB4" w:rsidR="004B06DF" w:rsidRDefault="004B06DF" w:rsidP="004B06DF">
            <w:pPr>
              <w:autoSpaceDE w:val="0"/>
              <w:autoSpaceDN w:val="0"/>
              <w:adjustRightInd w:val="0"/>
              <w:rPr>
                <w:rFonts w:ascii="Arial" w:hAnsi="Arial" w:cs="Arial"/>
                <w:sz w:val="24"/>
                <w:szCs w:val="24"/>
              </w:rPr>
            </w:pPr>
            <w:r>
              <w:rPr>
                <w:rFonts w:ascii="Arial" w:hAnsi="Arial" w:cs="Arial"/>
                <w:sz w:val="24"/>
                <w:szCs w:val="24"/>
              </w:rPr>
              <w:t>£441,703</w:t>
            </w:r>
          </w:p>
        </w:tc>
        <w:tc>
          <w:tcPr>
            <w:tcW w:w="1701" w:type="dxa"/>
          </w:tcPr>
          <w:p w14:paraId="5A80CAB5" w14:textId="0361E7A9" w:rsidR="004B06DF" w:rsidRDefault="004B06DF" w:rsidP="004B06DF">
            <w:pPr>
              <w:autoSpaceDE w:val="0"/>
              <w:autoSpaceDN w:val="0"/>
              <w:adjustRightInd w:val="0"/>
              <w:rPr>
                <w:rFonts w:ascii="Arial" w:hAnsi="Arial" w:cs="Arial"/>
                <w:sz w:val="24"/>
                <w:szCs w:val="24"/>
              </w:rPr>
            </w:pPr>
            <w:r>
              <w:rPr>
                <w:rFonts w:ascii="Arial" w:hAnsi="Arial" w:cs="Arial"/>
                <w:sz w:val="24"/>
                <w:szCs w:val="24"/>
              </w:rPr>
              <w:t>£6,666,735</w:t>
            </w:r>
          </w:p>
        </w:tc>
      </w:tr>
      <w:tr w:rsidR="004B06DF" w14:paraId="785EE8E1" w14:textId="77777777" w:rsidTr="003D3C2D">
        <w:tc>
          <w:tcPr>
            <w:tcW w:w="2324" w:type="dxa"/>
            <w:shd w:val="clear" w:color="auto" w:fill="BFBFBF" w:themeFill="background1" w:themeFillShade="BF"/>
          </w:tcPr>
          <w:p w14:paraId="45AB3C2E" w14:textId="5D3ECE97" w:rsidR="004B06DF" w:rsidRPr="003D3C2D" w:rsidRDefault="004B06DF" w:rsidP="004B06DF">
            <w:pPr>
              <w:autoSpaceDE w:val="0"/>
              <w:autoSpaceDN w:val="0"/>
              <w:adjustRightInd w:val="0"/>
              <w:rPr>
                <w:rFonts w:ascii="Arial" w:hAnsi="Arial" w:cs="Arial"/>
                <w:b/>
                <w:sz w:val="24"/>
                <w:szCs w:val="24"/>
              </w:rPr>
            </w:pPr>
            <w:r w:rsidRPr="003D3C2D">
              <w:rPr>
                <w:rFonts w:ascii="Arial" w:hAnsi="Arial" w:cs="Arial"/>
                <w:b/>
                <w:sz w:val="24"/>
                <w:szCs w:val="24"/>
              </w:rPr>
              <w:t>Cost</w:t>
            </w:r>
          </w:p>
        </w:tc>
        <w:tc>
          <w:tcPr>
            <w:tcW w:w="1418" w:type="dxa"/>
          </w:tcPr>
          <w:p w14:paraId="55307E43" w14:textId="0165751C" w:rsidR="004B06DF" w:rsidRDefault="004B06DF" w:rsidP="004B06DF">
            <w:pPr>
              <w:autoSpaceDE w:val="0"/>
              <w:autoSpaceDN w:val="0"/>
              <w:adjustRightInd w:val="0"/>
              <w:rPr>
                <w:rFonts w:ascii="Arial" w:hAnsi="Arial" w:cs="Arial"/>
                <w:sz w:val="24"/>
                <w:szCs w:val="24"/>
              </w:rPr>
            </w:pPr>
            <w:r>
              <w:rPr>
                <w:rFonts w:ascii="Arial" w:hAnsi="Arial" w:cs="Arial"/>
                <w:sz w:val="24"/>
                <w:szCs w:val="24"/>
              </w:rPr>
              <w:t>£2,425,849</w:t>
            </w:r>
          </w:p>
        </w:tc>
        <w:tc>
          <w:tcPr>
            <w:tcW w:w="1640" w:type="dxa"/>
          </w:tcPr>
          <w:p w14:paraId="4068AA1B" w14:textId="2C4A6F7E" w:rsidR="004B06DF" w:rsidRDefault="004B06DF" w:rsidP="004B06DF">
            <w:pPr>
              <w:autoSpaceDE w:val="0"/>
              <w:autoSpaceDN w:val="0"/>
              <w:adjustRightInd w:val="0"/>
              <w:rPr>
                <w:rFonts w:ascii="Arial" w:hAnsi="Arial" w:cs="Arial"/>
                <w:sz w:val="24"/>
                <w:szCs w:val="24"/>
              </w:rPr>
            </w:pPr>
            <w:r>
              <w:rPr>
                <w:rFonts w:ascii="Arial" w:hAnsi="Arial" w:cs="Arial"/>
                <w:sz w:val="24"/>
                <w:szCs w:val="24"/>
              </w:rPr>
              <w:t>£1,018,247</w:t>
            </w:r>
          </w:p>
        </w:tc>
        <w:tc>
          <w:tcPr>
            <w:tcW w:w="1701" w:type="dxa"/>
          </w:tcPr>
          <w:p w14:paraId="0A529884" w14:textId="3EA3F0B8" w:rsidR="004B06DF" w:rsidRDefault="004B06DF" w:rsidP="004B06DF">
            <w:pPr>
              <w:autoSpaceDE w:val="0"/>
              <w:autoSpaceDN w:val="0"/>
              <w:adjustRightInd w:val="0"/>
              <w:rPr>
                <w:rFonts w:ascii="Arial" w:hAnsi="Arial" w:cs="Arial"/>
                <w:sz w:val="24"/>
                <w:szCs w:val="24"/>
              </w:rPr>
            </w:pPr>
            <w:r>
              <w:rPr>
                <w:rFonts w:ascii="Arial" w:hAnsi="Arial" w:cs="Arial"/>
                <w:sz w:val="24"/>
                <w:szCs w:val="24"/>
              </w:rPr>
              <w:t>£1,046,222</w:t>
            </w:r>
          </w:p>
        </w:tc>
        <w:tc>
          <w:tcPr>
            <w:tcW w:w="1701" w:type="dxa"/>
          </w:tcPr>
          <w:p w14:paraId="2A099DDF" w14:textId="196A3E15" w:rsidR="004B06DF" w:rsidRDefault="004B06DF" w:rsidP="004B06DF">
            <w:pPr>
              <w:autoSpaceDE w:val="0"/>
              <w:autoSpaceDN w:val="0"/>
              <w:adjustRightInd w:val="0"/>
              <w:rPr>
                <w:rFonts w:ascii="Arial" w:hAnsi="Arial" w:cs="Arial"/>
                <w:sz w:val="24"/>
                <w:szCs w:val="24"/>
              </w:rPr>
            </w:pPr>
            <w:r>
              <w:rPr>
                <w:rFonts w:ascii="Arial" w:hAnsi="Arial" w:cs="Arial"/>
                <w:sz w:val="24"/>
                <w:szCs w:val="24"/>
              </w:rPr>
              <w:t>£1,075,038</w:t>
            </w:r>
          </w:p>
        </w:tc>
        <w:tc>
          <w:tcPr>
            <w:tcW w:w="1701" w:type="dxa"/>
          </w:tcPr>
          <w:p w14:paraId="1DB1B71A" w14:textId="3576D3E2" w:rsidR="004B06DF" w:rsidRDefault="004B06DF" w:rsidP="004B06DF">
            <w:pPr>
              <w:autoSpaceDE w:val="0"/>
              <w:autoSpaceDN w:val="0"/>
              <w:adjustRightInd w:val="0"/>
              <w:rPr>
                <w:rFonts w:ascii="Arial" w:hAnsi="Arial" w:cs="Arial"/>
                <w:sz w:val="24"/>
                <w:szCs w:val="24"/>
              </w:rPr>
            </w:pPr>
            <w:r>
              <w:rPr>
                <w:rFonts w:ascii="Arial" w:hAnsi="Arial" w:cs="Arial"/>
                <w:sz w:val="24"/>
                <w:szCs w:val="24"/>
              </w:rPr>
              <w:t>£1,104,717</w:t>
            </w:r>
          </w:p>
        </w:tc>
        <w:tc>
          <w:tcPr>
            <w:tcW w:w="1701" w:type="dxa"/>
          </w:tcPr>
          <w:p w14:paraId="45CA2E4C" w14:textId="660F02E9" w:rsidR="004B06DF" w:rsidRDefault="004B06DF" w:rsidP="004B06DF">
            <w:pPr>
              <w:autoSpaceDE w:val="0"/>
              <w:autoSpaceDN w:val="0"/>
              <w:adjustRightInd w:val="0"/>
              <w:rPr>
                <w:rFonts w:ascii="Arial" w:hAnsi="Arial" w:cs="Arial"/>
                <w:sz w:val="24"/>
                <w:szCs w:val="24"/>
              </w:rPr>
            </w:pPr>
            <w:r>
              <w:rPr>
                <w:rFonts w:ascii="Arial" w:hAnsi="Arial" w:cs="Arial"/>
                <w:sz w:val="24"/>
                <w:szCs w:val="24"/>
              </w:rPr>
              <w:t>£6,670,072</w:t>
            </w:r>
          </w:p>
        </w:tc>
      </w:tr>
    </w:tbl>
    <w:p w14:paraId="018587A0" w14:textId="77777777" w:rsidR="00145220" w:rsidRDefault="00145220" w:rsidP="00204C26">
      <w:pPr>
        <w:autoSpaceDE w:val="0"/>
        <w:autoSpaceDN w:val="0"/>
        <w:adjustRightInd w:val="0"/>
        <w:spacing w:after="0" w:line="240" w:lineRule="auto"/>
        <w:rPr>
          <w:rFonts w:ascii="Arial" w:hAnsi="Arial" w:cs="Arial"/>
          <w:sz w:val="24"/>
          <w:szCs w:val="24"/>
        </w:rPr>
      </w:pPr>
    </w:p>
    <w:sectPr w:rsidR="00145220" w:rsidSect="00204C2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07274F" w14:textId="77777777" w:rsidR="006C0778" w:rsidRDefault="006C0778" w:rsidP="00F620F6">
      <w:pPr>
        <w:spacing w:after="0" w:line="240" w:lineRule="auto"/>
      </w:pPr>
      <w:r>
        <w:separator/>
      </w:r>
    </w:p>
  </w:endnote>
  <w:endnote w:type="continuationSeparator" w:id="0">
    <w:p w14:paraId="7B8012E2" w14:textId="77777777" w:rsidR="006C0778" w:rsidRDefault="006C0778" w:rsidP="00F620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8232B4" w14:textId="77777777" w:rsidR="00345700" w:rsidRDefault="003457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9052199"/>
      <w:docPartObj>
        <w:docPartGallery w:val="Page Numbers (Bottom of Page)"/>
        <w:docPartUnique/>
      </w:docPartObj>
    </w:sdtPr>
    <w:sdtEndPr>
      <w:rPr>
        <w:noProof/>
      </w:rPr>
    </w:sdtEndPr>
    <w:sdtContent>
      <w:p w14:paraId="62AEECDF" w14:textId="77777777" w:rsidR="00C504CD" w:rsidRDefault="00C504CD">
        <w:pPr>
          <w:pStyle w:val="Footer"/>
          <w:jc w:val="center"/>
        </w:pPr>
        <w:r>
          <w:fldChar w:fldCharType="begin"/>
        </w:r>
        <w:r>
          <w:instrText xml:space="preserve"> PAGE   \* MERGEFORMAT </w:instrText>
        </w:r>
        <w:r>
          <w:fldChar w:fldCharType="separate"/>
        </w:r>
        <w:r w:rsidR="00345700">
          <w:rPr>
            <w:noProof/>
          </w:rPr>
          <w:t>1</w:t>
        </w:r>
        <w:r>
          <w:rPr>
            <w:noProof/>
          </w:rPr>
          <w:fldChar w:fldCharType="end"/>
        </w:r>
      </w:p>
    </w:sdtContent>
  </w:sdt>
  <w:p w14:paraId="6BC2183A" w14:textId="77777777" w:rsidR="00C504CD" w:rsidRDefault="00C504C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E4ED7A" w14:textId="77777777" w:rsidR="00345700" w:rsidRDefault="003457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6935F3" w14:textId="77777777" w:rsidR="006C0778" w:rsidRDefault="006C0778" w:rsidP="00F620F6">
      <w:pPr>
        <w:spacing w:after="0" w:line="240" w:lineRule="auto"/>
      </w:pPr>
      <w:r>
        <w:separator/>
      </w:r>
    </w:p>
  </w:footnote>
  <w:footnote w:type="continuationSeparator" w:id="0">
    <w:p w14:paraId="4B56CD31" w14:textId="77777777" w:rsidR="006C0778" w:rsidRDefault="006C0778" w:rsidP="00F620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88EA15" w14:textId="77777777" w:rsidR="00345700" w:rsidRDefault="003457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411ED4" w14:textId="56FBD2ED" w:rsidR="00345700" w:rsidRPr="00345700" w:rsidRDefault="00345700">
    <w:pPr>
      <w:pStyle w:val="Header"/>
      <w:rPr>
        <w:rFonts w:ascii="Arial" w:hAnsi="Arial" w:cs="Arial"/>
        <w:sz w:val="48"/>
        <w:szCs w:val="48"/>
      </w:rPr>
    </w:pPr>
    <w:r>
      <w:rPr>
        <w:rFonts w:ascii="Arial" w:hAnsi="Arial" w:cs="Arial"/>
        <w:sz w:val="48"/>
        <w:szCs w:val="48"/>
      </w:rPr>
      <w:tab/>
    </w:r>
    <w:r>
      <w:rPr>
        <w:rFonts w:ascii="Arial" w:hAnsi="Arial" w:cs="Arial"/>
        <w:sz w:val="48"/>
        <w:szCs w:val="48"/>
      </w:rPr>
      <w:tab/>
    </w:r>
    <w:bookmarkStart w:id="0" w:name="_GoBack"/>
    <w:bookmarkEnd w:id="0"/>
    <w:r w:rsidRPr="00345700">
      <w:rPr>
        <w:rFonts w:ascii="Arial" w:hAnsi="Arial" w:cs="Arial"/>
        <w:sz w:val="48"/>
        <w:szCs w:val="48"/>
      </w:rPr>
      <w:t>Appendix 4</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52E2F9" w14:textId="77777777" w:rsidR="00345700" w:rsidRDefault="003457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25DC9"/>
    <w:multiLevelType w:val="hybridMultilevel"/>
    <w:tmpl w:val="69683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3B7E96"/>
    <w:multiLevelType w:val="hybridMultilevel"/>
    <w:tmpl w:val="826E51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7C2C44"/>
    <w:multiLevelType w:val="hybridMultilevel"/>
    <w:tmpl w:val="E572F9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E94363"/>
    <w:multiLevelType w:val="hybridMultilevel"/>
    <w:tmpl w:val="2FB216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FF3ECC"/>
    <w:multiLevelType w:val="hybridMultilevel"/>
    <w:tmpl w:val="A1D4C9CE"/>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2F0463AE"/>
    <w:multiLevelType w:val="hybridMultilevel"/>
    <w:tmpl w:val="8D56B1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3E513F0"/>
    <w:multiLevelType w:val="hybridMultilevel"/>
    <w:tmpl w:val="09D22D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3F03CAC"/>
    <w:multiLevelType w:val="hybridMultilevel"/>
    <w:tmpl w:val="975C14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B557A9D"/>
    <w:multiLevelType w:val="hybridMultilevel"/>
    <w:tmpl w:val="C0CC02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D642FB9"/>
    <w:multiLevelType w:val="hybridMultilevel"/>
    <w:tmpl w:val="129C5F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FC91872"/>
    <w:multiLevelType w:val="hybridMultilevel"/>
    <w:tmpl w:val="EF8A0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C3D58BB"/>
    <w:multiLevelType w:val="hybridMultilevel"/>
    <w:tmpl w:val="FF82DA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F145199"/>
    <w:multiLevelType w:val="hybridMultilevel"/>
    <w:tmpl w:val="5B2279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F4933B4"/>
    <w:multiLevelType w:val="hybridMultilevel"/>
    <w:tmpl w:val="E750A692"/>
    <w:lvl w:ilvl="0" w:tplc="F80C886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70EC6ECA"/>
    <w:multiLevelType w:val="hybridMultilevel"/>
    <w:tmpl w:val="4E127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B9252F2"/>
    <w:multiLevelType w:val="hybridMultilevel"/>
    <w:tmpl w:val="B158309E"/>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
  </w:num>
  <w:num w:numId="2">
    <w:abstractNumId w:val="14"/>
  </w:num>
  <w:num w:numId="3">
    <w:abstractNumId w:val="7"/>
  </w:num>
  <w:num w:numId="4">
    <w:abstractNumId w:val="12"/>
  </w:num>
  <w:num w:numId="5">
    <w:abstractNumId w:val="8"/>
  </w:num>
  <w:num w:numId="6">
    <w:abstractNumId w:val="13"/>
  </w:num>
  <w:num w:numId="7">
    <w:abstractNumId w:val="10"/>
  </w:num>
  <w:num w:numId="8">
    <w:abstractNumId w:val="6"/>
  </w:num>
  <w:num w:numId="9">
    <w:abstractNumId w:val="2"/>
  </w:num>
  <w:num w:numId="10">
    <w:abstractNumId w:val="3"/>
  </w:num>
  <w:num w:numId="11">
    <w:abstractNumId w:val="11"/>
  </w:num>
  <w:num w:numId="12">
    <w:abstractNumId w:val="9"/>
  </w:num>
  <w:num w:numId="13">
    <w:abstractNumId w:val="5"/>
  </w:num>
  <w:num w:numId="14">
    <w:abstractNumId w:val="4"/>
  </w:num>
  <w:num w:numId="15">
    <w:abstractNumId w:val="15"/>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0132"/>
    <w:rsid w:val="00037EA4"/>
    <w:rsid w:val="000460EB"/>
    <w:rsid w:val="0005769C"/>
    <w:rsid w:val="00060132"/>
    <w:rsid w:val="00076638"/>
    <w:rsid w:val="00081783"/>
    <w:rsid w:val="000823C4"/>
    <w:rsid w:val="000D7255"/>
    <w:rsid w:val="00145220"/>
    <w:rsid w:val="001D056B"/>
    <w:rsid w:val="001E0311"/>
    <w:rsid w:val="00201CC3"/>
    <w:rsid w:val="00204C26"/>
    <w:rsid w:val="002343BA"/>
    <w:rsid w:val="00236025"/>
    <w:rsid w:val="00245E32"/>
    <w:rsid w:val="0025346E"/>
    <w:rsid w:val="00295A25"/>
    <w:rsid w:val="002C6178"/>
    <w:rsid w:val="002C6787"/>
    <w:rsid w:val="002C7882"/>
    <w:rsid w:val="002C7B65"/>
    <w:rsid w:val="002D38AB"/>
    <w:rsid w:val="00307830"/>
    <w:rsid w:val="00334423"/>
    <w:rsid w:val="0033684A"/>
    <w:rsid w:val="003420D4"/>
    <w:rsid w:val="00345700"/>
    <w:rsid w:val="003701DC"/>
    <w:rsid w:val="0038205F"/>
    <w:rsid w:val="003C2DC3"/>
    <w:rsid w:val="003C33A9"/>
    <w:rsid w:val="003C48F4"/>
    <w:rsid w:val="003D3C2D"/>
    <w:rsid w:val="004427BF"/>
    <w:rsid w:val="004615AA"/>
    <w:rsid w:val="00480A25"/>
    <w:rsid w:val="004B06DF"/>
    <w:rsid w:val="004B0EAF"/>
    <w:rsid w:val="004C4C2D"/>
    <w:rsid w:val="004D1D80"/>
    <w:rsid w:val="004F195B"/>
    <w:rsid w:val="00526A74"/>
    <w:rsid w:val="00535CEB"/>
    <w:rsid w:val="005955C0"/>
    <w:rsid w:val="005B14DF"/>
    <w:rsid w:val="005E0789"/>
    <w:rsid w:val="005F09D7"/>
    <w:rsid w:val="0060184B"/>
    <w:rsid w:val="0060678D"/>
    <w:rsid w:val="00615585"/>
    <w:rsid w:val="00650E2B"/>
    <w:rsid w:val="00655608"/>
    <w:rsid w:val="00671B55"/>
    <w:rsid w:val="00681045"/>
    <w:rsid w:val="006A050A"/>
    <w:rsid w:val="006A3120"/>
    <w:rsid w:val="006C0778"/>
    <w:rsid w:val="006F0993"/>
    <w:rsid w:val="00700D9A"/>
    <w:rsid w:val="00781847"/>
    <w:rsid w:val="00787773"/>
    <w:rsid w:val="007E23C2"/>
    <w:rsid w:val="007E7FC1"/>
    <w:rsid w:val="00815851"/>
    <w:rsid w:val="00872C17"/>
    <w:rsid w:val="008B5CF4"/>
    <w:rsid w:val="008B64C6"/>
    <w:rsid w:val="008C3D12"/>
    <w:rsid w:val="008D5B4F"/>
    <w:rsid w:val="00933394"/>
    <w:rsid w:val="009B2C11"/>
    <w:rsid w:val="009C4B8B"/>
    <w:rsid w:val="009F1744"/>
    <w:rsid w:val="00A2545F"/>
    <w:rsid w:val="00A3529C"/>
    <w:rsid w:val="00A51D05"/>
    <w:rsid w:val="00A7475E"/>
    <w:rsid w:val="00AA200F"/>
    <w:rsid w:val="00AB771E"/>
    <w:rsid w:val="00AD75FA"/>
    <w:rsid w:val="00AE1D04"/>
    <w:rsid w:val="00B01119"/>
    <w:rsid w:val="00B05349"/>
    <w:rsid w:val="00B16A11"/>
    <w:rsid w:val="00B313F4"/>
    <w:rsid w:val="00B52377"/>
    <w:rsid w:val="00B5496A"/>
    <w:rsid w:val="00B7550A"/>
    <w:rsid w:val="00B90700"/>
    <w:rsid w:val="00C10318"/>
    <w:rsid w:val="00C233DA"/>
    <w:rsid w:val="00C4482A"/>
    <w:rsid w:val="00C504CD"/>
    <w:rsid w:val="00C67615"/>
    <w:rsid w:val="00CA0041"/>
    <w:rsid w:val="00CA78DE"/>
    <w:rsid w:val="00CB624F"/>
    <w:rsid w:val="00CC0C82"/>
    <w:rsid w:val="00CC2C52"/>
    <w:rsid w:val="00CD4C40"/>
    <w:rsid w:val="00CE190A"/>
    <w:rsid w:val="00CE4DD0"/>
    <w:rsid w:val="00CF11C2"/>
    <w:rsid w:val="00CF7778"/>
    <w:rsid w:val="00D038B0"/>
    <w:rsid w:val="00D26215"/>
    <w:rsid w:val="00D308B6"/>
    <w:rsid w:val="00D31A23"/>
    <w:rsid w:val="00D847A7"/>
    <w:rsid w:val="00D86F16"/>
    <w:rsid w:val="00D972D1"/>
    <w:rsid w:val="00DA7A58"/>
    <w:rsid w:val="00DC11F3"/>
    <w:rsid w:val="00E12761"/>
    <w:rsid w:val="00E83F67"/>
    <w:rsid w:val="00E93334"/>
    <w:rsid w:val="00EE25D9"/>
    <w:rsid w:val="00F1755D"/>
    <w:rsid w:val="00F46890"/>
    <w:rsid w:val="00F53E9B"/>
    <w:rsid w:val="00F57CF4"/>
    <w:rsid w:val="00F620F6"/>
    <w:rsid w:val="00F85B97"/>
    <w:rsid w:val="00F9294E"/>
    <w:rsid w:val="00FA3EF5"/>
    <w:rsid w:val="00FD1ABF"/>
    <w:rsid w:val="00FD715D"/>
    <w:rsid w:val="00FD75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D3D01D"/>
  <w15:docId w15:val="{FCD50ECA-223A-46B9-B34A-CD86CE9D6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0132"/>
    <w:pPr>
      <w:ind w:left="720"/>
      <w:contextualSpacing/>
    </w:pPr>
  </w:style>
  <w:style w:type="table" w:styleId="TableGrid">
    <w:name w:val="Table Grid"/>
    <w:basedOn w:val="TableNormal"/>
    <w:uiPriority w:val="39"/>
    <w:rsid w:val="000601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F620F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620F6"/>
    <w:rPr>
      <w:sz w:val="20"/>
      <w:szCs w:val="20"/>
    </w:rPr>
  </w:style>
  <w:style w:type="character" w:styleId="FootnoteReference">
    <w:name w:val="footnote reference"/>
    <w:basedOn w:val="DefaultParagraphFont"/>
    <w:uiPriority w:val="99"/>
    <w:semiHidden/>
    <w:unhideWhenUsed/>
    <w:rsid w:val="00F620F6"/>
    <w:rPr>
      <w:vertAlign w:val="superscript"/>
    </w:rPr>
  </w:style>
  <w:style w:type="character" w:styleId="Hyperlink">
    <w:name w:val="Hyperlink"/>
    <w:basedOn w:val="DefaultParagraphFont"/>
    <w:uiPriority w:val="99"/>
    <w:unhideWhenUsed/>
    <w:rsid w:val="00F620F6"/>
    <w:rPr>
      <w:color w:val="0563C1" w:themeColor="hyperlink"/>
      <w:u w:val="single"/>
    </w:rPr>
  </w:style>
  <w:style w:type="character" w:styleId="FollowedHyperlink">
    <w:name w:val="FollowedHyperlink"/>
    <w:basedOn w:val="DefaultParagraphFont"/>
    <w:uiPriority w:val="99"/>
    <w:semiHidden/>
    <w:unhideWhenUsed/>
    <w:rsid w:val="00B7550A"/>
    <w:rPr>
      <w:color w:val="954F72" w:themeColor="followedHyperlink"/>
      <w:u w:val="single"/>
    </w:rPr>
  </w:style>
  <w:style w:type="paragraph" w:styleId="Footer">
    <w:name w:val="footer"/>
    <w:basedOn w:val="Normal"/>
    <w:link w:val="FooterChar"/>
    <w:uiPriority w:val="99"/>
    <w:unhideWhenUsed/>
    <w:rsid w:val="008C3D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3D12"/>
  </w:style>
  <w:style w:type="character" w:styleId="CommentReference">
    <w:name w:val="annotation reference"/>
    <w:basedOn w:val="DefaultParagraphFont"/>
    <w:uiPriority w:val="99"/>
    <w:semiHidden/>
    <w:unhideWhenUsed/>
    <w:rsid w:val="008B64C6"/>
    <w:rPr>
      <w:sz w:val="16"/>
      <w:szCs w:val="16"/>
    </w:rPr>
  </w:style>
  <w:style w:type="paragraph" w:styleId="CommentText">
    <w:name w:val="annotation text"/>
    <w:basedOn w:val="Normal"/>
    <w:link w:val="CommentTextChar"/>
    <w:uiPriority w:val="99"/>
    <w:semiHidden/>
    <w:unhideWhenUsed/>
    <w:rsid w:val="008B64C6"/>
    <w:pPr>
      <w:spacing w:line="240" w:lineRule="auto"/>
    </w:pPr>
    <w:rPr>
      <w:sz w:val="20"/>
      <w:szCs w:val="20"/>
    </w:rPr>
  </w:style>
  <w:style w:type="character" w:customStyle="1" w:styleId="CommentTextChar">
    <w:name w:val="Comment Text Char"/>
    <w:basedOn w:val="DefaultParagraphFont"/>
    <w:link w:val="CommentText"/>
    <w:uiPriority w:val="99"/>
    <w:semiHidden/>
    <w:rsid w:val="008B64C6"/>
    <w:rPr>
      <w:sz w:val="20"/>
      <w:szCs w:val="20"/>
    </w:rPr>
  </w:style>
  <w:style w:type="paragraph" w:styleId="CommentSubject">
    <w:name w:val="annotation subject"/>
    <w:basedOn w:val="CommentText"/>
    <w:next w:val="CommentText"/>
    <w:link w:val="CommentSubjectChar"/>
    <w:uiPriority w:val="99"/>
    <w:semiHidden/>
    <w:unhideWhenUsed/>
    <w:rsid w:val="008B64C6"/>
    <w:rPr>
      <w:b/>
      <w:bCs/>
    </w:rPr>
  </w:style>
  <w:style w:type="character" w:customStyle="1" w:styleId="CommentSubjectChar">
    <w:name w:val="Comment Subject Char"/>
    <w:basedOn w:val="CommentTextChar"/>
    <w:link w:val="CommentSubject"/>
    <w:uiPriority w:val="99"/>
    <w:semiHidden/>
    <w:rsid w:val="008B64C6"/>
    <w:rPr>
      <w:b/>
      <w:bCs/>
      <w:sz w:val="20"/>
      <w:szCs w:val="20"/>
    </w:rPr>
  </w:style>
  <w:style w:type="paragraph" w:styleId="BalloonText">
    <w:name w:val="Balloon Text"/>
    <w:basedOn w:val="Normal"/>
    <w:link w:val="BalloonTextChar"/>
    <w:uiPriority w:val="99"/>
    <w:semiHidden/>
    <w:unhideWhenUsed/>
    <w:rsid w:val="008B64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64C6"/>
    <w:rPr>
      <w:rFonts w:ascii="Segoe UI" w:hAnsi="Segoe UI" w:cs="Segoe UI"/>
      <w:sz w:val="18"/>
      <w:szCs w:val="18"/>
    </w:rPr>
  </w:style>
  <w:style w:type="paragraph" w:styleId="Header">
    <w:name w:val="header"/>
    <w:basedOn w:val="Normal"/>
    <w:link w:val="HeaderChar"/>
    <w:uiPriority w:val="99"/>
    <w:unhideWhenUsed/>
    <w:rsid w:val="00CF77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77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29056">
      <w:bodyDiv w:val="1"/>
      <w:marLeft w:val="0"/>
      <w:marRight w:val="0"/>
      <w:marTop w:val="0"/>
      <w:marBottom w:val="0"/>
      <w:divBdr>
        <w:top w:val="none" w:sz="0" w:space="0" w:color="auto"/>
        <w:left w:val="none" w:sz="0" w:space="0" w:color="auto"/>
        <w:bottom w:val="none" w:sz="0" w:space="0" w:color="auto"/>
        <w:right w:val="none" w:sz="0" w:space="0" w:color="auto"/>
      </w:divBdr>
    </w:div>
    <w:div w:id="18242514">
      <w:bodyDiv w:val="1"/>
      <w:marLeft w:val="0"/>
      <w:marRight w:val="0"/>
      <w:marTop w:val="0"/>
      <w:marBottom w:val="0"/>
      <w:divBdr>
        <w:top w:val="none" w:sz="0" w:space="0" w:color="auto"/>
        <w:left w:val="none" w:sz="0" w:space="0" w:color="auto"/>
        <w:bottom w:val="none" w:sz="0" w:space="0" w:color="auto"/>
        <w:right w:val="none" w:sz="0" w:space="0" w:color="auto"/>
      </w:divBdr>
    </w:div>
    <w:div w:id="292172138">
      <w:bodyDiv w:val="1"/>
      <w:marLeft w:val="0"/>
      <w:marRight w:val="0"/>
      <w:marTop w:val="0"/>
      <w:marBottom w:val="0"/>
      <w:divBdr>
        <w:top w:val="none" w:sz="0" w:space="0" w:color="auto"/>
        <w:left w:val="none" w:sz="0" w:space="0" w:color="auto"/>
        <w:bottom w:val="none" w:sz="0" w:space="0" w:color="auto"/>
        <w:right w:val="none" w:sz="0" w:space="0" w:color="auto"/>
      </w:divBdr>
    </w:div>
    <w:div w:id="626470571">
      <w:bodyDiv w:val="1"/>
      <w:marLeft w:val="0"/>
      <w:marRight w:val="0"/>
      <w:marTop w:val="0"/>
      <w:marBottom w:val="0"/>
      <w:divBdr>
        <w:top w:val="none" w:sz="0" w:space="0" w:color="auto"/>
        <w:left w:val="none" w:sz="0" w:space="0" w:color="auto"/>
        <w:bottom w:val="none" w:sz="0" w:space="0" w:color="auto"/>
        <w:right w:val="none" w:sz="0" w:space="0" w:color="auto"/>
      </w:divBdr>
    </w:div>
    <w:div w:id="742218805">
      <w:bodyDiv w:val="1"/>
      <w:marLeft w:val="0"/>
      <w:marRight w:val="0"/>
      <w:marTop w:val="0"/>
      <w:marBottom w:val="0"/>
      <w:divBdr>
        <w:top w:val="none" w:sz="0" w:space="0" w:color="auto"/>
        <w:left w:val="none" w:sz="0" w:space="0" w:color="auto"/>
        <w:bottom w:val="none" w:sz="0" w:space="0" w:color="auto"/>
        <w:right w:val="none" w:sz="0" w:space="0" w:color="auto"/>
      </w:divBdr>
    </w:div>
    <w:div w:id="835270988">
      <w:bodyDiv w:val="1"/>
      <w:marLeft w:val="0"/>
      <w:marRight w:val="0"/>
      <w:marTop w:val="0"/>
      <w:marBottom w:val="0"/>
      <w:divBdr>
        <w:top w:val="none" w:sz="0" w:space="0" w:color="auto"/>
        <w:left w:val="none" w:sz="0" w:space="0" w:color="auto"/>
        <w:bottom w:val="none" w:sz="0" w:space="0" w:color="auto"/>
        <w:right w:val="none" w:sz="0" w:space="0" w:color="auto"/>
      </w:divBdr>
    </w:div>
    <w:div w:id="848256851">
      <w:bodyDiv w:val="1"/>
      <w:marLeft w:val="0"/>
      <w:marRight w:val="0"/>
      <w:marTop w:val="0"/>
      <w:marBottom w:val="0"/>
      <w:divBdr>
        <w:top w:val="none" w:sz="0" w:space="0" w:color="auto"/>
        <w:left w:val="none" w:sz="0" w:space="0" w:color="auto"/>
        <w:bottom w:val="none" w:sz="0" w:space="0" w:color="auto"/>
        <w:right w:val="none" w:sz="0" w:space="0" w:color="auto"/>
      </w:divBdr>
    </w:div>
    <w:div w:id="909848603">
      <w:bodyDiv w:val="1"/>
      <w:marLeft w:val="0"/>
      <w:marRight w:val="0"/>
      <w:marTop w:val="0"/>
      <w:marBottom w:val="0"/>
      <w:divBdr>
        <w:top w:val="none" w:sz="0" w:space="0" w:color="auto"/>
        <w:left w:val="none" w:sz="0" w:space="0" w:color="auto"/>
        <w:bottom w:val="none" w:sz="0" w:space="0" w:color="auto"/>
        <w:right w:val="none" w:sz="0" w:space="0" w:color="auto"/>
      </w:divBdr>
    </w:div>
    <w:div w:id="1239708042">
      <w:bodyDiv w:val="1"/>
      <w:marLeft w:val="0"/>
      <w:marRight w:val="0"/>
      <w:marTop w:val="0"/>
      <w:marBottom w:val="0"/>
      <w:divBdr>
        <w:top w:val="none" w:sz="0" w:space="0" w:color="auto"/>
        <w:left w:val="none" w:sz="0" w:space="0" w:color="auto"/>
        <w:bottom w:val="none" w:sz="0" w:space="0" w:color="auto"/>
        <w:right w:val="none" w:sz="0" w:space="0" w:color="auto"/>
      </w:divBdr>
    </w:div>
    <w:div w:id="1364360149">
      <w:bodyDiv w:val="1"/>
      <w:marLeft w:val="0"/>
      <w:marRight w:val="0"/>
      <w:marTop w:val="0"/>
      <w:marBottom w:val="0"/>
      <w:divBdr>
        <w:top w:val="none" w:sz="0" w:space="0" w:color="auto"/>
        <w:left w:val="none" w:sz="0" w:space="0" w:color="auto"/>
        <w:bottom w:val="none" w:sz="0" w:space="0" w:color="auto"/>
        <w:right w:val="none" w:sz="0" w:space="0" w:color="auto"/>
      </w:divBdr>
    </w:div>
    <w:div w:id="2142838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3DF28B-B20F-48F3-AD3D-42F9DA5E35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255088B1</Template>
  <TotalTime>112</TotalTime>
  <Pages>6</Pages>
  <Words>1451</Words>
  <Characters>8277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Oxford City County</Company>
  <LinksUpToDate>false</LinksUpToDate>
  <CharactersWithSpaces>9709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CONEY Katherine</dc:creator>
  <cp:keywords/>
  <dc:description/>
  <cp:lastModifiedBy>MITCHELL John</cp:lastModifiedBy>
  <cp:revision>7</cp:revision>
  <dcterms:created xsi:type="dcterms:W3CDTF">2020-07-24T15:30:00Z</dcterms:created>
  <dcterms:modified xsi:type="dcterms:W3CDTF">2020-08-14T09:35:00Z</dcterms:modified>
</cp:coreProperties>
</file>